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6" w:type="dxa"/>
        <w:tblInd w:w="108" w:type="dxa"/>
        <w:tblCellMar>
          <w:left w:w="0" w:type="dxa"/>
          <w:right w:w="0" w:type="dxa"/>
        </w:tblCellMar>
        <w:tblLook w:val="0000" w:firstRow="0" w:lastRow="0" w:firstColumn="0" w:lastColumn="0" w:noHBand="0" w:noVBand="0"/>
      </w:tblPr>
      <w:tblGrid>
        <w:gridCol w:w="3100"/>
        <w:gridCol w:w="6416"/>
      </w:tblGrid>
      <w:tr w:rsidR="00307CFC" w:rsidRPr="00D44C85" w:rsidTr="00421AF6">
        <w:trPr>
          <w:trHeight w:val="1460"/>
        </w:trPr>
        <w:tc>
          <w:tcPr>
            <w:tcW w:w="3100" w:type="dxa"/>
            <w:tcMar>
              <w:top w:w="0" w:type="dxa"/>
              <w:left w:w="108" w:type="dxa"/>
              <w:bottom w:w="0" w:type="dxa"/>
              <w:right w:w="108" w:type="dxa"/>
            </w:tcMar>
          </w:tcPr>
          <w:p w:rsidR="00307CFC" w:rsidRPr="00D44C85" w:rsidRDefault="00307CFC" w:rsidP="00421AF6">
            <w:pPr>
              <w:jc w:val="center"/>
              <w:rPr>
                <w:sz w:val="26"/>
                <w:szCs w:val="26"/>
                <w:lang w:val="vi-VN"/>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227965</wp:posOffset>
                      </wp:positionV>
                      <wp:extent cx="593725" cy="0"/>
                      <wp:effectExtent l="11430"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A14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7.95pt" to="9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mRGg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"/>
                  </w:pict>
                </mc:Fallback>
              </mc:AlternateContent>
            </w:r>
            <w:r w:rsidRPr="00D44C85">
              <w:rPr>
                <w:b/>
                <w:bCs/>
                <w:sz w:val="26"/>
                <w:szCs w:val="26"/>
                <w:lang w:val="vi-VN"/>
              </w:rPr>
              <w:t xml:space="preserve">BỘ </w:t>
            </w:r>
            <w:r>
              <w:rPr>
                <w:b/>
                <w:bCs/>
                <w:sz w:val="26"/>
                <w:szCs w:val="26"/>
              </w:rPr>
              <w:t>TƯ PHÁP</w:t>
            </w:r>
            <w:r w:rsidRPr="00D44C85">
              <w:rPr>
                <w:b/>
                <w:bCs/>
                <w:sz w:val="26"/>
                <w:szCs w:val="26"/>
                <w:lang w:val="vi-VN"/>
              </w:rPr>
              <w:br/>
            </w:r>
          </w:p>
          <w:p w:rsidR="00307CFC" w:rsidRPr="00D44C85" w:rsidRDefault="00307CFC" w:rsidP="00421AF6">
            <w:pPr>
              <w:jc w:val="center"/>
              <w:rPr>
                <w:sz w:val="26"/>
                <w:szCs w:val="26"/>
                <w:lang w:val="vi-VN"/>
              </w:rPr>
            </w:pPr>
          </w:p>
          <w:p w:rsidR="00307CFC" w:rsidRPr="00307CFC" w:rsidRDefault="00307CFC" w:rsidP="00307CFC">
            <w:pPr>
              <w:jc w:val="center"/>
              <w:rPr>
                <w:sz w:val="26"/>
                <w:szCs w:val="26"/>
              </w:rPr>
            </w:pPr>
            <w:r w:rsidRPr="00D44C85">
              <w:rPr>
                <w:sz w:val="26"/>
                <w:szCs w:val="26"/>
                <w:lang w:val="vi-VN"/>
              </w:rPr>
              <w:t xml:space="preserve">Số: </w:t>
            </w:r>
            <w:r>
              <w:rPr>
                <w:sz w:val="26"/>
                <w:szCs w:val="26"/>
              </w:rPr>
              <w:t xml:space="preserve">      </w:t>
            </w:r>
            <w:r w:rsidRPr="00D44C85">
              <w:rPr>
                <w:sz w:val="26"/>
                <w:szCs w:val="26"/>
                <w:lang w:val="vi-VN"/>
              </w:rPr>
              <w:t>/20</w:t>
            </w:r>
            <w:r>
              <w:rPr>
                <w:sz w:val="26"/>
                <w:szCs w:val="26"/>
              </w:rPr>
              <w:t>24</w:t>
            </w:r>
            <w:r w:rsidRPr="00D44C85">
              <w:rPr>
                <w:sz w:val="26"/>
                <w:szCs w:val="26"/>
                <w:lang w:val="vi-VN"/>
              </w:rPr>
              <w:t>/TT-BT</w:t>
            </w:r>
            <w:r>
              <w:rPr>
                <w:sz w:val="26"/>
                <w:szCs w:val="26"/>
              </w:rPr>
              <w:t>P</w:t>
            </w:r>
          </w:p>
        </w:tc>
        <w:tc>
          <w:tcPr>
            <w:tcW w:w="6416" w:type="dxa"/>
            <w:tcMar>
              <w:top w:w="0" w:type="dxa"/>
              <w:left w:w="108" w:type="dxa"/>
              <w:bottom w:w="0" w:type="dxa"/>
              <w:right w:w="108" w:type="dxa"/>
            </w:tcMar>
          </w:tcPr>
          <w:p w:rsidR="00307CFC" w:rsidRPr="00D44C85" w:rsidRDefault="00307CFC" w:rsidP="00421AF6">
            <w:pPr>
              <w:jc w:val="center"/>
              <w:rPr>
                <w:b/>
                <w:bCs/>
                <w:sz w:val="26"/>
                <w:szCs w:val="26"/>
                <w:lang w:val="vi-VN"/>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969010</wp:posOffset>
                      </wp:positionH>
                      <wp:positionV relativeFrom="paragraph">
                        <wp:posOffset>400050</wp:posOffset>
                      </wp:positionV>
                      <wp:extent cx="2023110" cy="0"/>
                      <wp:effectExtent l="952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E87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31.5pt" to="23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M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k6csg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"/>
                  </w:pict>
                </mc:Fallback>
              </mc:AlternateContent>
            </w:r>
            <w:r w:rsidRPr="00D44C85">
              <w:rPr>
                <w:b/>
                <w:bCs/>
                <w:sz w:val="26"/>
                <w:szCs w:val="26"/>
                <w:lang w:val="vi-VN"/>
              </w:rPr>
              <w:t>CỘNG HÒA XÃ HỘI CHỦ NGHĨA VIỆT NAM</w:t>
            </w:r>
            <w:r w:rsidRPr="00D44C85">
              <w:rPr>
                <w:b/>
                <w:bCs/>
                <w:sz w:val="26"/>
                <w:szCs w:val="26"/>
                <w:lang w:val="vi-VN"/>
              </w:rPr>
              <w:br/>
              <w:t>Độc lập - Tự do - Hạnh phúc</w:t>
            </w:r>
            <w:r w:rsidRPr="00D44C85">
              <w:rPr>
                <w:b/>
                <w:bCs/>
                <w:sz w:val="26"/>
                <w:szCs w:val="26"/>
                <w:lang w:val="vi-VN"/>
              </w:rPr>
              <w:br/>
            </w:r>
          </w:p>
          <w:p w:rsidR="00307CFC" w:rsidRPr="00307CFC" w:rsidRDefault="00307CFC" w:rsidP="00307CFC">
            <w:pPr>
              <w:jc w:val="center"/>
              <w:rPr>
                <w:sz w:val="26"/>
                <w:szCs w:val="26"/>
              </w:rPr>
            </w:pPr>
            <w:r w:rsidRPr="00D44C85">
              <w:rPr>
                <w:i/>
                <w:iCs/>
                <w:sz w:val="26"/>
                <w:szCs w:val="26"/>
                <w:lang w:val="vi-VN"/>
              </w:rPr>
              <w:t xml:space="preserve">Hà Nội, ngày </w:t>
            </w:r>
            <w:r>
              <w:rPr>
                <w:i/>
                <w:iCs/>
                <w:sz w:val="26"/>
                <w:szCs w:val="26"/>
              </w:rPr>
              <w:t xml:space="preserve">     </w:t>
            </w:r>
            <w:r w:rsidRPr="00D44C85">
              <w:rPr>
                <w:i/>
                <w:iCs/>
                <w:sz w:val="26"/>
                <w:szCs w:val="26"/>
                <w:lang w:val="vi-VN"/>
              </w:rPr>
              <w:t xml:space="preserve"> tháng </w:t>
            </w:r>
            <w:r>
              <w:rPr>
                <w:i/>
                <w:iCs/>
                <w:sz w:val="26"/>
                <w:szCs w:val="26"/>
              </w:rPr>
              <w:t xml:space="preserve">  </w:t>
            </w:r>
            <w:r w:rsidRPr="00D44C85">
              <w:rPr>
                <w:i/>
                <w:iCs/>
                <w:sz w:val="26"/>
                <w:szCs w:val="26"/>
                <w:lang w:val="vi-VN"/>
              </w:rPr>
              <w:t xml:space="preserve"> năm 20</w:t>
            </w:r>
            <w:r>
              <w:rPr>
                <w:i/>
                <w:iCs/>
                <w:sz w:val="26"/>
                <w:szCs w:val="26"/>
              </w:rPr>
              <w:t>24</w:t>
            </w:r>
          </w:p>
        </w:tc>
      </w:tr>
    </w:tbl>
    <w:p w:rsidR="00307CFC" w:rsidRPr="00575FBA" w:rsidRDefault="00575FBA" w:rsidP="00575FBA">
      <w:pPr>
        <w:tabs>
          <w:tab w:val="left" w:pos="1025"/>
        </w:tabs>
        <w:rPr>
          <w:b/>
          <w:bCs/>
        </w:rPr>
      </w:pPr>
      <w:r>
        <w:rPr>
          <w:b/>
          <w:bCs/>
          <w:lang w:val="vi-VN"/>
        </w:rPr>
        <w:tab/>
      </w:r>
      <w:r>
        <w:rPr>
          <w:b/>
          <w:bCs/>
        </w:rPr>
        <w:t>(Dự thảo)</w:t>
      </w:r>
    </w:p>
    <w:p w:rsidR="00307CFC" w:rsidRPr="00D44C85" w:rsidRDefault="00307CFC" w:rsidP="00307CFC">
      <w:pPr>
        <w:jc w:val="center"/>
        <w:rPr>
          <w:lang w:val="vi-VN"/>
        </w:rPr>
      </w:pPr>
      <w:r w:rsidRPr="00D44C85">
        <w:rPr>
          <w:b/>
          <w:bCs/>
          <w:lang w:val="vi-VN"/>
        </w:rPr>
        <w:t>THÔNG TƯ</w:t>
      </w:r>
    </w:p>
    <w:p w:rsidR="00307CFC" w:rsidRPr="00284EF6" w:rsidRDefault="00307CFC" w:rsidP="006223B1">
      <w:pPr>
        <w:jc w:val="center"/>
        <w:rPr>
          <w:b/>
          <w:bCs/>
        </w:rPr>
      </w:pPr>
      <w:r w:rsidRPr="00D44C85">
        <w:rPr>
          <w:b/>
          <w:lang w:val="vi-VN"/>
        </w:rPr>
        <w:t xml:space="preserve">Quy định </w:t>
      </w:r>
      <w:r w:rsidR="007549F5" w:rsidRPr="00066D60">
        <w:rPr>
          <w:b/>
          <w:bCs/>
          <w:lang w:val="vi-VN"/>
        </w:rPr>
        <w:t>cơ chế, chính sách về</w:t>
      </w:r>
      <w:r w:rsidR="007549F5" w:rsidRPr="00066D60">
        <w:rPr>
          <w:b/>
          <w:bCs/>
        </w:rPr>
        <w:t xml:space="preserve"> giá dịch vụ đấu giá tài sản </w:t>
      </w:r>
      <w:r w:rsidR="007549F5" w:rsidRPr="00066D60">
        <w:rPr>
          <w:b/>
          <w:bCs/>
          <w:lang w:val="vi-VN"/>
        </w:rPr>
        <w:t xml:space="preserve">mà pháp luật quy định phải bán thông qua đấu giá; </w:t>
      </w:r>
      <w:r w:rsidR="007549F5" w:rsidRPr="00066D60">
        <w:rPr>
          <w:b/>
          <w:bCs/>
        </w:rPr>
        <w:t xml:space="preserve">chi phí đăng thông báo lựa chọn tổ chức hành nghề đấu giá tài sản, chi phí thông báo công khai việc đấu giá trên Cổng Đấu giá tài sản quốc gia, chi phí </w:t>
      </w:r>
      <w:r w:rsidR="007549F5" w:rsidRPr="00066D60">
        <w:rPr>
          <w:b/>
          <w:bCs/>
          <w:lang w:val="vi-VN"/>
        </w:rPr>
        <w:t>sử dụng</w:t>
      </w:r>
      <w:r w:rsidR="007549F5" w:rsidRPr="00066D60">
        <w:rPr>
          <w:b/>
          <w:bCs/>
        </w:rPr>
        <w:t xml:space="preserve"> phần mềm đấu giá trực tuyến trên Cổng Đấu giá tài sản quốc gia</w:t>
      </w:r>
      <w:r w:rsidR="00284EF6" w:rsidRPr="00284EF6">
        <w:rPr>
          <w:b/>
          <w:bCs/>
        </w:rPr>
        <w:t xml:space="preserve"> và các chi phí khác liên quan theo quy định của pháp luật</w:t>
      </w:r>
    </w:p>
    <w:p w:rsidR="00307CFC" w:rsidRPr="00D44C85" w:rsidRDefault="00307CFC" w:rsidP="00307CFC">
      <w:pPr>
        <w:spacing w:before="120" w:after="120"/>
        <w:ind w:firstLine="567"/>
        <w:jc w:val="both"/>
        <w:rPr>
          <w:i/>
          <w:iCs/>
          <w:lang w:val="vi-VN"/>
        </w:rPr>
      </w:pPr>
    </w:p>
    <w:p w:rsidR="00307CFC" w:rsidRPr="00D44C85" w:rsidRDefault="006223B1" w:rsidP="00941184">
      <w:pPr>
        <w:spacing w:before="80" w:line="380" w:lineRule="exact"/>
        <w:ind w:firstLine="720"/>
        <w:jc w:val="both"/>
        <w:rPr>
          <w:i/>
          <w:lang w:val="vi-VN"/>
        </w:rPr>
      </w:pPr>
      <w:r w:rsidRPr="005023FF">
        <w:rPr>
          <w:i/>
          <w:iCs/>
        </w:rPr>
        <w:t>Căn</w:t>
      </w:r>
      <w:r w:rsidRPr="005023FF">
        <w:rPr>
          <w:i/>
          <w:iCs/>
          <w:lang w:val="vi-VN"/>
        </w:rPr>
        <w:t xml:space="preserve"> cứ Luật Đấu giá tài sản ngày</w:t>
      </w:r>
      <w:r w:rsidRPr="005023FF">
        <w:rPr>
          <w:i/>
          <w:iCs/>
        </w:rPr>
        <w:t xml:space="preserve"> </w:t>
      </w:r>
      <w:r w:rsidRPr="005023FF">
        <w:rPr>
          <w:i/>
          <w:iCs/>
          <w:lang w:val="vi-VN"/>
        </w:rPr>
        <w:t>17 tháng 11 năm 2016</w:t>
      </w:r>
      <w:r w:rsidRPr="005023FF">
        <w:rPr>
          <w:i/>
          <w:iCs/>
        </w:rPr>
        <w:t xml:space="preserve"> và Luật sửa đổi,</w:t>
      </w:r>
      <w:r>
        <w:rPr>
          <w:i/>
          <w:iCs/>
        </w:rPr>
        <w:t xml:space="preserve"> bổ sung một số điều của Luật Đấu giá tài sản năm 2024</w:t>
      </w:r>
      <w:r w:rsidR="00307CFC" w:rsidRPr="00D44C85">
        <w:rPr>
          <w:i/>
          <w:iCs/>
          <w:lang w:val="vi-VN"/>
        </w:rPr>
        <w:t>;</w:t>
      </w:r>
    </w:p>
    <w:p w:rsidR="00307CFC" w:rsidRDefault="00307CFC" w:rsidP="00941184">
      <w:pPr>
        <w:spacing w:before="80" w:line="380" w:lineRule="exact"/>
        <w:ind w:firstLine="720"/>
        <w:jc w:val="both"/>
        <w:rPr>
          <w:i/>
          <w:lang w:val="nl-NL"/>
        </w:rPr>
      </w:pPr>
      <w:r w:rsidRPr="00307CFC">
        <w:rPr>
          <w:i/>
          <w:iCs/>
          <w:lang w:val="vi-VN"/>
        </w:rPr>
        <w:t xml:space="preserve">Căn cứ </w:t>
      </w:r>
      <w:hyperlink r:id="rId7" w:history="1">
        <w:r w:rsidR="00B56830">
          <w:rPr>
            <w:i/>
            <w:iCs/>
            <w:lang w:val="vi-VN"/>
          </w:rPr>
          <w:t>Luật Giá</w:t>
        </w:r>
        <w:r w:rsidRPr="00307CFC">
          <w:rPr>
            <w:i/>
            <w:iCs/>
            <w:lang w:val="vi-VN"/>
          </w:rPr>
          <w:t xml:space="preserve"> số 16/2023/QH15</w:t>
        </w:r>
      </w:hyperlink>
      <w:r w:rsidRPr="00307CFC">
        <w:rPr>
          <w:i/>
          <w:iCs/>
          <w:lang w:val="vi-VN"/>
        </w:rPr>
        <w:t xml:space="preserve"> ngày 19 tháng 6 năm</w:t>
      </w:r>
      <w:r w:rsidRPr="00E643B5">
        <w:rPr>
          <w:i/>
          <w:lang w:val="nl-NL"/>
        </w:rPr>
        <w:t xml:space="preserve"> 20</w:t>
      </w:r>
      <w:r>
        <w:rPr>
          <w:i/>
          <w:lang w:val="nl-NL"/>
        </w:rPr>
        <w:t>23;</w:t>
      </w:r>
    </w:p>
    <w:p w:rsidR="006223B1" w:rsidRPr="00E643B5" w:rsidRDefault="006223B1" w:rsidP="00941184">
      <w:pPr>
        <w:spacing w:before="80" w:line="380" w:lineRule="exact"/>
        <w:ind w:firstLine="720"/>
        <w:jc w:val="both"/>
        <w:rPr>
          <w:i/>
          <w:lang w:val="nl-NL"/>
        </w:rPr>
      </w:pPr>
      <w:r>
        <w:rPr>
          <w:i/>
          <w:iCs/>
        </w:rPr>
        <w:t>Căn cứ Nghị định số 120/2020/NĐ-CP ngày 28 tháng 10 năm 2022 của Chính phủ quy định về thành lập, tổ chức lại, giải thể đơn vị sự nghiệp công lập;</w:t>
      </w:r>
    </w:p>
    <w:p w:rsidR="00307CFC" w:rsidRPr="00E643B5" w:rsidRDefault="00941184" w:rsidP="00307CFC">
      <w:pPr>
        <w:tabs>
          <w:tab w:val="left" w:pos="709"/>
        </w:tabs>
        <w:spacing w:before="80" w:line="380" w:lineRule="exact"/>
        <w:ind w:firstLine="454"/>
        <w:jc w:val="both"/>
        <w:rPr>
          <w:i/>
          <w:lang w:val="nl-NL"/>
        </w:rPr>
      </w:pPr>
      <w:r>
        <w:rPr>
          <w:i/>
          <w:lang w:val="vi-VN"/>
        </w:rPr>
        <w:tab/>
      </w:r>
      <w:r w:rsidR="00307CFC" w:rsidRPr="00E643B5">
        <w:rPr>
          <w:i/>
          <w:lang w:val="vi-VN"/>
        </w:rPr>
        <w:t xml:space="preserve">Căn cứ Nghị định số </w:t>
      </w:r>
      <w:r w:rsidR="00307CFC">
        <w:rPr>
          <w:i/>
          <w:lang w:val="nl-NL"/>
        </w:rPr>
        <w:t>98</w:t>
      </w:r>
      <w:r w:rsidR="00307CFC" w:rsidRPr="00E643B5">
        <w:rPr>
          <w:i/>
          <w:lang w:val="vi-VN"/>
        </w:rPr>
        <w:t>/20</w:t>
      </w:r>
      <w:r w:rsidR="00307CFC">
        <w:rPr>
          <w:i/>
          <w:lang w:val="nl-NL"/>
        </w:rPr>
        <w:t>22</w:t>
      </w:r>
      <w:r w:rsidR="00307CFC" w:rsidRPr="00E643B5">
        <w:rPr>
          <w:i/>
          <w:lang w:val="vi-VN"/>
        </w:rPr>
        <w:t xml:space="preserve">/NĐ-CP ngày </w:t>
      </w:r>
      <w:r w:rsidR="00307CFC" w:rsidRPr="00E643B5">
        <w:rPr>
          <w:i/>
          <w:lang w:val="nl-NL"/>
        </w:rPr>
        <w:t>2</w:t>
      </w:r>
      <w:r w:rsidR="00307CFC">
        <w:rPr>
          <w:i/>
          <w:lang w:val="nl-NL"/>
        </w:rPr>
        <w:t>9</w:t>
      </w:r>
      <w:r w:rsidR="00307CFC" w:rsidRPr="00E643B5">
        <w:rPr>
          <w:i/>
          <w:lang w:val="nl-NL"/>
        </w:rPr>
        <w:t xml:space="preserve"> tháng </w:t>
      </w:r>
      <w:r w:rsidR="00307CFC" w:rsidRPr="00E643B5">
        <w:rPr>
          <w:i/>
          <w:lang w:val="vi-VN"/>
        </w:rPr>
        <w:t>1</w:t>
      </w:r>
      <w:r w:rsidR="00307CFC">
        <w:rPr>
          <w:i/>
          <w:lang w:val="nl-NL"/>
        </w:rPr>
        <w:t>1</w:t>
      </w:r>
      <w:r w:rsidR="00307CFC" w:rsidRPr="00E643B5">
        <w:rPr>
          <w:i/>
          <w:lang w:val="nl-NL"/>
        </w:rPr>
        <w:t xml:space="preserve"> năm </w:t>
      </w:r>
      <w:r w:rsidR="00307CFC" w:rsidRPr="00E643B5">
        <w:rPr>
          <w:i/>
          <w:lang w:val="vi-VN"/>
        </w:rPr>
        <w:t>20</w:t>
      </w:r>
      <w:r w:rsidR="00307CFC">
        <w:rPr>
          <w:i/>
          <w:lang w:val="nl-NL"/>
        </w:rPr>
        <w:t>22</w:t>
      </w:r>
      <w:r w:rsidR="00307CFC" w:rsidRPr="00E643B5">
        <w:rPr>
          <w:i/>
          <w:lang w:val="vi-VN"/>
        </w:rPr>
        <w:t xml:space="preserve"> của Chính phủ quy định chức năng, nhiệm vụ, qu</w:t>
      </w:r>
      <w:r w:rsidR="00307CFC">
        <w:rPr>
          <w:i/>
          <w:lang w:val="vi-VN"/>
        </w:rPr>
        <w:t>yền hạn và cơ cấu tổ chức của Bộ Tư pháp</w:t>
      </w:r>
      <w:r w:rsidR="00307CFC" w:rsidRPr="00E643B5">
        <w:rPr>
          <w:i/>
          <w:lang w:val="vi-VN"/>
        </w:rPr>
        <w:t>;</w:t>
      </w:r>
    </w:p>
    <w:p w:rsidR="00307CFC" w:rsidRPr="00E643B5" w:rsidRDefault="00941184" w:rsidP="00307CFC">
      <w:pPr>
        <w:tabs>
          <w:tab w:val="left" w:pos="709"/>
        </w:tabs>
        <w:spacing w:before="80" w:line="380" w:lineRule="exact"/>
        <w:ind w:firstLine="454"/>
        <w:jc w:val="both"/>
        <w:rPr>
          <w:i/>
          <w:lang w:val="nl-NL"/>
        </w:rPr>
      </w:pPr>
      <w:r>
        <w:rPr>
          <w:i/>
          <w:iCs/>
          <w:lang w:val="vi-VN"/>
        </w:rPr>
        <w:tab/>
      </w:r>
      <w:r w:rsidR="00307CFC" w:rsidRPr="00E643B5">
        <w:rPr>
          <w:i/>
          <w:iCs/>
          <w:lang w:val="vi-VN"/>
        </w:rPr>
        <w:t xml:space="preserve">Theo đề nghị của Cục trưởng Cục </w:t>
      </w:r>
      <w:r w:rsidR="00307CFC">
        <w:rPr>
          <w:i/>
          <w:iCs/>
          <w:lang w:val="nl-NL"/>
        </w:rPr>
        <w:t>Bổ trợ tư pháp</w:t>
      </w:r>
      <w:r w:rsidR="00307CFC" w:rsidRPr="00E643B5">
        <w:rPr>
          <w:i/>
          <w:iCs/>
          <w:lang w:val="vi-VN"/>
        </w:rPr>
        <w:t>,</w:t>
      </w:r>
    </w:p>
    <w:p w:rsidR="00307CFC" w:rsidRDefault="00941184" w:rsidP="00307CFC">
      <w:pPr>
        <w:tabs>
          <w:tab w:val="left" w:pos="709"/>
        </w:tabs>
        <w:spacing w:before="80" w:line="380" w:lineRule="exact"/>
        <w:ind w:firstLine="454"/>
        <w:jc w:val="both"/>
        <w:rPr>
          <w:i/>
          <w:lang w:val="nl-NL"/>
        </w:rPr>
      </w:pPr>
      <w:r>
        <w:rPr>
          <w:i/>
          <w:lang w:val="nl-NL"/>
        </w:rPr>
        <w:tab/>
      </w:r>
      <w:r w:rsidR="00307CFC">
        <w:rPr>
          <w:i/>
          <w:lang w:val="nl-NL"/>
        </w:rPr>
        <w:t xml:space="preserve">Bộ trưởng Bộ Tư pháp </w:t>
      </w:r>
      <w:r w:rsidR="00307CFC" w:rsidRPr="00E643B5">
        <w:rPr>
          <w:i/>
          <w:lang w:val="nl-NL"/>
        </w:rPr>
        <w:t xml:space="preserve">ban hành Thông tư </w:t>
      </w:r>
      <w:r w:rsidR="006223B1" w:rsidRPr="006223B1">
        <w:rPr>
          <w:i/>
          <w:lang w:val="nl-NL"/>
        </w:rPr>
        <w:t>quy định khung giá dịch vụ đấu giá tài sản mà pháp luật quy định phải bán thông qua đấu giá và 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r w:rsidR="00307CFC" w:rsidRPr="00E643B5">
        <w:rPr>
          <w:i/>
          <w:lang w:val="nl-NL"/>
        </w:rPr>
        <w:t>.</w:t>
      </w:r>
    </w:p>
    <w:p w:rsidR="00CF0E5E" w:rsidRDefault="00CF0E5E" w:rsidP="00941184">
      <w:pPr>
        <w:tabs>
          <w:tab w:val="left" w:pos="709"/>
        </w:tabs>
        <w:spacing w:before="80" w:line="380" w:lineRule="exact"/>
        <w:ind w:firstLine="454"/>
        <w:jc w:val="center"/>
        <w:rPr>
          <w:b/>
          <w:lang w:val="nl-NL"/>
        </w:rPr>
      </w:pPr>
      <w:r>
        <w:rPr>
          <w:b/>
          <w:lang w:val="nl-NL"/>
        </w:rPr>
        <w:t>Chương I</w:t>
      </w:r>
    </w:p>
    <w:p w:rsidR="00CF0E5E" w:rsidRPr="00CF0E5E" w:rsidRDefault="00CF0E5E" w:rsidP="00CF0E5E">
      <w:pPr>
        <w:tabs>
          <w:tab w:val="left" w:pos="709"/>
        </w:tabs>
        <w:spacing w:before="80" w:line="380" w:lineRule="exact"/>
        <w:ind w:firstLine="454"/>
        <w:jc w:val="center"/>
        <w:rPr>
          <w:b/>
          <w:lang w:val="nl-NL"/>
        </w:rPr>
      </w:pPr>
      <w:r>
        <w:rPr>
          <w:b/>
          <w:lang w:val="nl-NL"/>
        </w:rPr>
        <w:t>QUY ĐỊNH CHUNG</w:t>
      </w:r>
    </w:p>
    <w:p w:rsidR="00307CFC" w:rsidRPr="00E643B5" w:rsidRDefault="00941184" w:rsidP="004019B7">
      <w:pPr>
        <w:tabs>
          <w:tab w:val="left" w:pos="709"/>
        </w:tabs>
        <w:spacing w:before="120" w:line="300" w:lineRule="atLeast"/>
        <w:ind w:firstLine="454"/>
        <w:jc w:val="both"/>
        <w:rPr>
          <w:i/>
          <w:lang w:val="nl-NL"/>
        </w:rPr>
      </w:pPr>
      <w:r>
        <w:rPr>
          <w:b/>
          <w:lang w:val="nl-NL"/>
        </w:rPr>
        <w:tab/>
      </w:r>
      <w:r w:rsidR="00307CFC" w:rsidRPr="00E643B5">
        <w:rPr>
          <w:b/>
          <w:lang w:val="nl-NL"/>
        </w:rPr>
        <w:t>Điều 1. Phạm vi điều chỉnh</w:t>
      </w:r>
    </w:p>
    <w:p w:rsidR="004F450E" w:rsidRPr="00815494" w:rsidRDefault="004F450E" w:rsidP="00815494">
      <w:pPr>
        <w:tabs>
          <w:tab w:val="left" w:pos="709"/>
        </w:tabs>
        <w:spacing w:before="120" w:after="120" w:line="360" w:lineRule="atLeast"/>
        <w:jc w:val="both"/>
        <w:rPr>
          <w:bCs/>
          <w:lang w:val="nl-NL"/>
        </w:rPr>
      </w:pPr>
      <w:r w:rsidRPr="00815494">
        <w:rPr>
          <w:bCs/>
          <w:lang w:val="nl-NL"/>
        </w:rPr>
        <w:t xml:space="preserve">      </w:t>
      </w:r>
      <w:r w:rsidR="00941184" w:rsidRPr="00815494">
        <w:rPr>
          <w:bCs/>
          <w:lang w:val="nl-NL"/>
        </w:rPr>
        <w:tab/>
      </w:r>
      <w:r w:rsidRPr="00815494">
        <w:rPr>
          <w:bCs/>
          <w:lang w:val="nl-NL"/>
        </w:rPr>
        <w:t xml:space="preserve">1. </w:t>
      </w:r>
      <w:r w:rsidR="0097466B" w:rsidRPr="00815494">
        <w:rPr>
          <w:bCs/>
          <w:lang w:val="nl-NL"/>
        </w:rPr>
        <w:t xml:space="preserve">Thông tư này quy định </w:t>
      </w:r>
      <w:r w:rsidR="00D56034" w:rsidRPr="00D56034">
        <w:rPr>
          <w:bCs/>
          <w:lang w:val="nl-NL"/>
        </w:rPr>
        <w:t>cơ chế, chính sách về giá dịch vụ đấu giá tài sản mà pháp luật quy định phải bán thông qua đấu giá</w:t>
      </w:r>
      <w:r w:rsidR="00D56034" w:rsidRPr="00815494">
        <w:rPr>
          <w:bCs/>
          <w:lang w:val="nl-NL"/>
        </w:rPr>
        <w:t xml:space="preserve"> </w:t>
      </w:r>
      <w:r w:rsidR="00307CFC" w:rsidRPr="00815494">
        <w:rPr>
          <w:bCs/>
          <w:lang w:val="nl-NL"/>
        </w:rPr>
        <w:t xml:space="preserve">theo quy định tại khoản 1 Điều 66 của Luật </w:t>
      </w:r>
      <w:r w:rsidR="00974DBF" w:rsidRPr="00815494">
        <w:rPr>
          <w:bCs/>
          <w:lang w:val="nl-NL"/>
        </w:rPr>
        <w:t>Đ</w:t>
      </w:r>
      <w:r w:rsidR="00307CFC" w:rsidRPr="00815494">
        <w:rPr>
          <w:bCs/>
          <w:lang w:val="nl-NL"/>
        </w:rPr>
        <w:t>ấu giá tài sản</w:t>
      </w:r>
      <w:r w:rsidR="00F63129" w:rsidRPr="00815494">
        <w:rPr>
          <w:bCs/>
          <w:lang w:val="nl-NL"/>
        </w:rPr>
        <w:t xml:space="preserve"> được sửa đổi, bổ sung bởi điểm a khoản 10 Điều 73 Luật Giá năm 2023</w:t>
      </w:r>
      <w:r w:rsidR="007E4FBC" w:rsidRPr="00815494">
        <w:rPr>
          <w:bCs/>
          <w:lang w:val="nl-NL"/>
        </w:rPr>
        <w:t>.</w:t>
      </w:r>
    </w:p>
    <w:p w:rsidR="00307CFC" w:rsidRPr="00815494" w:rsidRDefault="004F450E" w:rsidP="00815494">
      <w:pPr>
        <w:tabs>
          <w:tab w:val="left" w:pos="709"/>
        </w:tabs>
        <w:spacing w:before="120" w:after="120" w:line="360" w:lineRule="atLeast"/>
        <w:jc w:val="both"/>
        <w:rPr>
          <w:bCs/>
          <w:lang w:val="nl-NL"/>
        </w:rPr>
      </w:pPr>
      <w:r w:rsidRPr="00815494">
        <w:rPr>
          <w:bCs/>
          <w:lang w:val="nl-NL"/>
        </w:rPr>
        <w:lastRenderedPageBreak/>
        <w:t xml:space="preserve">     </w:t>
      </w:r>
      <w:r w:rsidR="00941184" w:rsidRPr="00815494">
        <w:rPr>
          <w:bCs/>
          <w:lang w:val="nl-NL"/>
        </w:rPr>
        <w:tab/>
      </w:r>
      <w:r w:rsidRPr="00815494">
        <w:rPr>
          <w:bCs/>
          <w:lang w:val="nl-NL"/>
        </w:rPr>
        <w:t>2. V</w:t>
      </w:r>
      <w:r w:rsidR="00F63129" w:rsidRPr="00815494">
        <w:rPr>
          <w:bCs/>
          <w:lang w:val="nl-NL"/>
        </w:rPr>
        <w:t xml:space="preserve">iệc thu, nộp, quản lý và sử dụng chi phí đăng thông báo lựa chọn tổ chức hành nghề đấu giá tài sản, chi phí thông báo công khai việc đấu giá trên Cổng Đấu giá tài sản quốc gia, chi phí </w:t>
      </w:r>
      <w:r w:rsidR="00086F2B" w:rsidRPr="00815494">
        <w:rPr>
          <w:bCs/>
          <w:lang w:val="nl-NL"/>
        </w:rPr>
        <w:t>sử dụng</w:t>
      </w:r>
      <w:r w:rsidR="00F63129" w:rsidRPr="00815494">
        <w:rPr>
          <w:bCs/>
          <w:lang w:val="nl-NL"/>
        </w:rPr>
        <w:t xml:space="preserve"> phần mềm đấu giá trực tuy</w:t>
      </w:r>
      <w:r w:rsidR="009A64DB" w:rsidRPr="00815494">
        <w:rPr>
          <w:bCs/>
          <w:lang w:val="nl-NL"/>
        </w:rPr>
        <w:t>ế</w:t>
      </w:r>
      <w:r w:rsidR="00F63129" w:rsidRPr="00815494">
        <w:rPr>
          <w:bCs/>
          <w:lang w:val="nl-NL"/>
        </w:rPr>
        <w:t>n trên Cổng Đấu giá tài sản quốc gia theo quy định của Luật Đấu giá tài sản.</w:t>
      </w:r>
    </w:p>
    <w:p w:rsidR="00307CFC" w:rsidRPr="00815494" w:rsidRDefault="00307CFC" w:rsidP="00815494">
      <w:pPr>
        <w:spacing w:before="120" w:after="120" w:line="360" w:lineRule="atLeast"/>
        <w:ind w:firstLine="720"/>
        <w:jc w:val="both"/>
        <w:rPr>
          <w:b/>
          <w:bCs/>
          <w:lang w:val="nl-NL"/>
        </w:rPr>
      </w:pPr>
      <w:r w:rsidRPr="00815494">
        <w:rPr>
          <w:b/>
          <w:bCs/>
          <w:lang w:val="nl-NL"/>
        </w:rPr>
        <w:t xml:space="preserve">Điều 2. Đối tượng áp dụng </w:t>
      </w:r>
    </w:p>
    <w:p w:rsidR="00307CFC" w:rsidRPr="00815494" w:rsidRDefault="00307CFC" w:rsidP="00815494">
      <w:pPr>
        <w:spacing w:before="120" w:after="120" w:line="360" w:lineRule="atLeast"/>
        <w:ind w:firstLine="720"/>
        <w:jc w:val="both"/>
        <w:rPr>
          <w:lang w:val="nl-NL"/>
        </w:rPr>
      </w:pPr>
      <w:r w:rsidRPr="00815494">
        <w:rPr>
          <w:bCs/>
          <w:lang w:val="nl-NL"/>
        </w:rPr>
        <w:t>Đối tượng áp dụng của Thông tư này bao gồm:</w:t>
      </w:r>
    </w:p>
    <w:p w:rsidR="00665A9F" w:rsidRPr="00815494" w:rsidRDefault="00665A9F" w:rsidP="00815494">
      <w:pPr>
        <w:pStyle w:val="NormalWeb"/>
        <w:shd w:val="clear" w:color="auto" w:fill="FFFFFF"/>
        <w:spacing w:before="120" w:beforeAutospacing="0" w:after="120" w:afterAutospacing="0" w:line="360" w:lineRule="atLeast"/>
        <w:ind w:firstLine="720"/>
        <w:jc w:val="both"/>
        <w:rPr>
          <w:color w:val="000000"/>
          <w:sz w:val="28"/>
          <w:szCs w:val="28"/>
        </w:rPr>
      </w:pPr>
      <w:r w:rsidRPr="00815494">
        <w:rPr>
          <w:color w:val="000000"/>
          <w:sz w:val="28"/>
          <w:szCs w:val="28"/>
        </w:rPr>
        <w:t xml:space="preserve">1. Người có tài sản đấu giá theo quy định tại khoản 5 Điều 5 của Luật đấu giá tài sản khi thực hiện đấu giá tài sản quy định tại khoản 1 Điều 4 của Luật đấu giá tài sản. </w:t>
      </w:r>
    </w:p>
    <w:p w:rsidR="00665A9F" w:rsidRPr="00815494" w:rsidRDefault="00665A9F" w:rsidP="00815494">
      <w:pPr>
        <w:pStyle w:val="NormalWeb"/>
        <w:shd w:val="clear" w:color="auto" w:fill="FFFFFF"/>
        <w:spacing w:before="120" w:beforeAutospacing="0" w:after="120" w:afterAutospacing="0" w:line="360" w:lineRule="atLeast"/>
        <w:ind w:firstLine="720"/>
        <w:jc w:val="both"/>
        <w:rPr>
          <w:color w:val="000000"/>
          <w:sz w:val="28"/>
          <w:szCs w:val="28"/>
        </w:rPr>
      </w:pPr>
      <w:r w:rsidRPr="00815494">
        <w:rPr>
          <w:color w:val="000000"/>
          <w:sz w:val="28"/>
          <w:szCs w:val="28"/>
        </w:rPr>
        <w:t>2. Tổ chức đấu giá tài sản theo quy định tại khoản 12 Điều 5 của Luật đấu giá tài sản; Hội đồng đấu giá tài sản trong trường hợp cuộc đấu giá do Hội đồng đấu giá tài sản thực hiện.</w:t>
      </w:r>
    </w:p>
    <w:p w:rsidR="00665A9F" w:rsidRPr="00815494" w:rsidRDefault="00665A9F" w:rsidP="00815494">
      <w:pPr>
        <w:pStyle w:val="NormalWeb"/>
        <w:shd w:val="clear" w:color="auto" w:fill="FFFFFF"/>
        <w:spacing w:before="120" w:beforeAutospacing="0" w:after="120" w:afterAutospacing="0" w:line="360" w:lineRule="atLeast"/>
        <w:ind w:firstLine="720"/>
        <w:jc w:val="both"/>
        <w:rPr>
          <w:color w:val="000000"/>
          <w:sz w:val="28"/>
          <w:szCs w:val="28"/>
        </w:rPr>
      </w:pPr>
      <w:r w:rsidRPr="00815494">
        <w:rPr>
          <w:color w:val="000000"/>
          <w:sz w:val="28"/>
          <w:szCs w:val="28"/>
        </w:rPr>
        <w:t>3. Tổ chức, cá nhân khác có liên quan đến trường hợp đấu giá tài sản quy định tại </w:t>
      </w:r>
      <w:bookmarkStart w:id="0" w:name="dc_5"/>
      <w:r w:rsidRPr="00815494">
        <w:rPr>
          <w:color w:val="000000"/>
          <w:sz w:val="28"/>
          <w:szCs w:val="28"/>
        </w:rPr>
        <w:t>khoản 1 Điều 4 của Luật đấu giá tài sản</w:t>
      </w:r>
      <w:bookmarkEnd w:id="0"/>
      <w:r w:rsidRPr="00815494">
        <w:rPr>
          <w:color w:val="000000"/>
          <w:sz w:val="28"/>
          <w:szCs w:val="28"/>
        </w:rPr>
        <w:t>.</w:t>
      </w:r>
    </w:p>
    <w:p w:rsidR="00CF0E5E" w:rsidRPr="00815494" w:rsidRDefault="00CF0E5E" w:rsidP="00815494">
      <w:pPr>
        <w:spacing w:before="120" w:after="120" w:line="360" w:lineRule="atLeast"/>
        <w:ind w:firstLine="454"/>
        <w:jc w:val="center"/>
        <w:rPr>
          <w:b/>
          <w:lang w:val="nl-NL"/>
        </w:rPr>
      </w:pPr>
      <w:r w:rsidRPr="00815494">
        <w:rPr>
          <w:b/>
          <w:lang w:val="nl-NL"/>
        </w:rPr>
        <w:t>Chương II</w:t>
      </w:r>
    </w:p>
    <w:p w:rsidR="00CF0E5E" w:rsidRPr="00815494" w:rsidRDefault="003F076C" w:rsidP="00815494">
      <w:pPr>
        <w:spacing w:before="120" w:after="120" w:line="360" w:lineRule="atLeast"/>
        <w:ind w:firstLine="454"/>
        <w:jc w:val="center"/>
        <w:rPr>
          <w:b/>
          <w:lang w:val="nl-NL"/>
        </w:rPr>
      </w:pPr>
      <w:r w:rsidRPr="00066D60">
        <w:rPr>
          <w:b/>
          <w:bCs/>
          <w:lang w:val="vi-VN"/>
        </w:rPr>
        <w:t>CƠ CHẾ, CHÍNH SÁCH VỀ</w:t>
      </w:r>
      <w:r w:rsidRPr="00066D60">
        <w:rPr>
          <w:b/>
          <w:bCs/>
        </w:rPr>
        <w:t xml:space="preserve"> GIÁ DỊCH VỤ ĐẤU GIÁ TÀI SẢN </w:t>
      </w:r>
      <w:r w:rsidRPr="00066D60">
        <w:rPr>
          <w:b/>
          <w:bCs/>
          <w:lang w:val="vi-VN"/>
        </w:rPr>
        <w:t>MÀ PHÁP LUẬT QUY ĐỊNH PHẢI BÁN THÔNG QUA ĐẤU GIÁ</w:t>
      </w:r>
    </w:p>
    <w:p w:rsidR="0097466B" w:rsidRPr="00815494" w:rsidRDefault="00307CFC" w:rsidP="007549F5">
      <w:pPr>
        <w:spacing w:before="120" w:after="120" w:line="360" w:lineRule="atLeast"/>
        <w:ind w:firstLine="454"/>
        <w:jc w:val="both"/>
        <w:rPr>
          <w:lang w:val="nl-NL"/>
        </w:rPr>
      </w:pPr>
      <w:r w:rsidRPr="00815494">
        <w:rPr>
          <w:b/>
          <w:bCs/>
          <w:lang w:val="nl-NL"/>
        </w:rPr>
        <w:t xml:space="preserve">Điều </w:t>
      </w:r>
      <w:r w:rsidR="004F0259">
        <w:rPr>
          <w:b/>
          <w:bCs/>
          <w:lang w:val="nl-NL"/>
        </w:rPr>
        <w:t>3</w:t>
      </w:r>
      <w:r w:rsidRPr="00815494">
        <w:rPr>
          <w:b/>
          <w:bCs/>
          <w:lang w:val="nl-NL"/>
        </w:rPr>
        <w:t xml:space="preserve">. </w:t>
      </w:r>
      <w:r w:rsidR="007549F5">
        <w:rPr>
          <w:b/>
          <w:bCs/>
          <w:lang w:val="nl-NL"/>
        </w:rPr>
        <w:t>G</w:t>
      </w:r>
      <w:r w:rsidR="00974DBF" w:rsidRPr="00815494">
        <w:rPr>
          <w:b/>
          <w:bCs/>
          <w:lang w:val="nl-NL"/>
        </w:rPr>
        <w:t>iá</w:t>
      </w:r>
      <w:r w:rsidRPr="00815494">
        <w:rPr>
          <w:b/>
          <w:bCs/>
          <w:lang w:val="nl-NL"/>
        </w:rPr>
        <w:t xml:space="preserve"> dịch vụ đấu giá tài sản</w:t>
      </w:r>
    </w:p>
    <w:p w:rsidR="0097466B" w:rsidRPr="00815494" w:rsidRDefault="007549F5" w:rsidP="00815494">
      <w:pPr>
        <w:spacing w:before="120" w:after="120" w:line="360" w:lineRule="atLeast"/>
        <w:ind w:firstLine="454"/>
        <w:jc w:val="both"/>
        <w:rPr>
          <w:lang w:val="nl-NL"/>
        </w:rPr>
      </w:pPr>
      <w:r>
        <w:rPr>
          <w:lang w:val="nl-NL"/>
        </w:rPr>
        <w:t>1</w:t>
      </w:r>
      <w:r w:rsidR="0097466B" w:rsidRPr="00815494">
        <w:rPr>
          <w:lang w:val="nl-NL"/>
        </w:rPr>
        <w:t>. Trường hợp đấu giá tài sản không thành thì người có tài sản đấu giá thanh toán cho tổ chức đấu giá tài sản các chi phí đấu giá tài sản theo quy định tại </w:t>
      </w:r>
      <w:bookmarkStart w:id="1" w:name="dc_3"/>
      <w:r w:rsidR="0097466B" w:rsidRPr="00815494">
        <w:rPr>
          <w:lang w:val="nl-NL"/>
        </w:rPr>
        <w:t xml:space="preserve">khoản 2 Điều 66 Luật </w:t>
      </w:r>
      <w:r w:rsidR="00DB1640" w:rsidRPr="00815494">
        <w:rPr>
          <w:lang w:val="nl-NL"/>
        </w:rPr>
        <w:t>Đ</w:t>
      </w:r>
      <w:r w:rsidR="0097466B" w:rsidRPr="00815494">
        <w:rPr>
          <w:lang w:val="nl-NL"/>
        </w:rPr>
        <w:t>ấu giá tài sản</w:t>
      </w:r>
      <w:bookmarkEnd w:id="1"/>
      <w:r w:rsidR="0097466B" w:rsidRPr="00815494">
        <w:rPr>
          <w:lang w:val="nl-NL"/>
        </w:rPr>
        <w:t> đã được hai bên thỏa thuận trong hợp đồng dịch vụ đấu giá tài sản.</w:t>
      </w:r>
    </w:p>
    <w:p w:rsidR="00307CFC" w:rsidRPr="00815494" w:rsidRDefault="007549F5" w:rsidP="00815494">
      <w:pPr>
        <w:spacing w:before="120" w:after="120" w:line="360" w:lineRule="atLeast"/>
        <w:ind w:firstLine="454"/>
        <w:jc w:val="both"/>
        <w:rPr>
          <w:lang w:val="nl-NL"/>
        </w:rPr>
      </w:pPr>
      <w:r>
        <w:rPr>
          <w:lang w:val="nl-NL"/>
        </w:rPr>
        <w:t>2</w:t>
      </w:r>
      <w:r w:rsidR="0097466B" w:rsidRPr="00815494">
        <w:rPr>
          <w:lang w:val="nl-NL"/>
        </w:rPr>
        <w:t xml:space="preserve">. Việc xác định </w:t>
      </w:r>
      <w:r w:rsidR="00974DBF" w:rsidRPr="00815494">
        <w:rPr>
          <w:bCs/>
          <w:lang w:val="nl-NL"/>
        </w:rPr>
        <w:t>giá</w:t>
      </w:r>
      <w:r w:rsidR="0097466B" w:rsidRPr="00815494">
        <w:rPr>
          <w:lang w:val="nl-NL"/>
        </w:rPr>
        <w:t xml:space="preserve"> dịch vụ đấu giá tài sản, chi phí đấu giá tài sản cụ thể cho từng </w:t>
      </w:r>
      <w:r w:rsidR="00D25B06" w:rsidRPr="00815494">
        <w:rPr>
          <w:lang w:val="nl-NL"/>
        </w:rPr>
        <w:t>cuộc đấu giá</w:t>
      </w:r>
      <w:r w:rsidR="0097466B" w:rsidRPr="00815494">
        <w:rPr>
          <w:lang w:val="nl-NL"/>
        </w:rPr>
        <w:t xml:space="preserve"> do người có tài sản đấu giá và tổ chức đấu giá tài sản thỏa thuận trong hợp đồng dịch vụ đấu giá tài sản trên cơ sở kết quả lựa chọn tổ chức đấu giá tài sản và quy định về </w:t>
      </w:r>
      <w:r w:rsidR="00974DBF" w:rsidRPr="00815494">
        <w:rPr>
          <w:bCs/>
          <w:lang w:val="nl-NL"/>
        </w:rPr>
        <w:t>giá</w:t>
      </w:r>
      <w:r w:rsidR="0097466B" w:rsidRPr="00815494">
        <w:rPr>
          <w:lang w:val="nl-NL"/>
        </w:rPr>
        <w:t xml:space="preserve"> dịch vụ đấu giá tài sản, chi phí đấu giá tài sản tại </w:t>
      </w:r>
      <w:bookmarkStart w:id="2" w:name="tvpllink_penyzwfeux_1"/>
      <w:r w:rsidR="0097466B" w:rsidRPr="00815494">
        <w:rPr>
          <w:lang w:val="nl-NL"/>
        </w:rPr>
        <w:fldChar w:fldCharType="begin"/>
      </w:r>
      <w:r w:rsidR="0097466B" w:rsidRPr="00815494">
        <w:rPr>
          <w:lang w:val="nl-NL"/>
        </w:rPr>
        <w:instrText xml:space="preserve"> HYPERLINK "https://thuvienphapluat.vn/van-ban/Bo-may-hanh-chinh/Luat-dau-gia-tai-san-2016-280115.aspx" \t "_blank" </w:instrText>
      </w:r>
      <w:r w:rsidR="0097466B" w:rsidRPr="00815494">
        <w:rPr>
          <w:lang w:val="nl-NL"/>
        </w:rPr>
        <w:fldChar w:fldCharType="separate"/>
      </w:r>
      <w:r w:rsidR="0097466B" w:rsidRPr="00815494">
        <w:rPr>
          <w:lang w:val="nl-NL"/>
        </w:rPr>
        <w:t xml:space="preserve">Luật </w:t>
      </w:r>
      <w:r w:rsidR="00DB1640" w:rsidRPr="00815494">
        <w:rPr>
          <w:lang w:val="nl-NL"/>
        </w:rPr>
        <w:t>Đ</w:t>
      </w:r>
      <w:r w:rsidR="0097466B" w:rsidRPr="00815494">
        <w:rPr>
          <w:lang w:val="nl-NL"/>
        </w:rPr>
        <w:t>ấu giá tài sản</w:t>
      </w:r>
      <w:r w:rsidR="0097466B" w:rsidRPr="00815494">
        <w:rPr>
          <w:lang w:val="nl-NL"/>
        </w:rPr>
        <w:fldChar w:fldCharType="end"/>
      </w:r>
      <w:bookmarkEnd w:id="2"/>
      <w:r w:rsidR="0097466B" w:rsidRPr="00815494">
        <w:rPr>
          <w:lang w:val="nl-NL"/>
        </w:rPr>
        <w:t xml:space="preserve">. Người có tài sản chịu trách nhiệm về việc quyết định mức cụ thể </w:t>
      </w:r>
      <w:r w:rsidR="00974DBF" w:rsidRPr="00815494">
        <w:rPr>
          <w:bCs/>
          <w:lang w:val="nl-NL"/>
        </w:rPr>
        <w:t>giá</w:t>
      </w:r>
      <w:r w:rsidR="00974DBF" w:rsidRPr="00815494">
        <w:rPr>
          <w:lang w:val="nl-NL"/>
        </w:rPr>
        <w:t xml:space="preserve"> </w:t>
      </w:r>
      <w:r w:rsidR="0097466B" w:rsidRPr="00815494">
        <w:rPr>
          <w:lang w:val="nl-NL"/>
        </w:rPr>
        <w:t xml:space="preserve">dịch vụ đấu giá tài sản, đảm bảo </w:t>
      </w:r>
      <w:r w:rsidR="00974DBF" w:rsidRPr="00815494">
        <w:rPr>
          <w:bCs/>
          <w:lang w:val="nl-NL"/>
        </w:rPr>
        <w:t>giá</w:t>
      </w:r>
      <w:r w:rsidR="0097466B" w:rsidRPr="00815494">
        <w:rPr>
          <w:lang w:val="nl-NL"/>
        </w:rPr>
        <w:t xml:space="preserve"> dịch vụ đấu giá tài sản trong khung </w:t>
      </w:r>
      <w:r w:rsidR="00974DBF" w:rsidRPr="00815494">
        <w:rPr>
          <w:bCs/>
          <w:lang w:val="nl-NL"/>
        </w:rPr>
        <w:t>giá</w:t>
      </w:r>
      <w:r w:rsidR="0097466B" w:rsidRPr="00815494">
        <w:rPr>
          <w:lang w:val="nl-NL"/>
        </w:rPr>
        <w:t xml:space="preserve"> do Bộ </w:t>
      </w:r>
      <w:r w:rsidR="00974DBF" w:rsidRPr="00815494">
        <w:rPr>
          <w:lang w:val="nl-NL"/>
        </w:rPr>
        <w:t>Tư pháp</w:t>
      </w:r>
      <w:r w:rsidR="0097466B" w:rsidRPr="00815494">
        <w:rPr>
          <w:lang w:val="nl-NL"/>
        </w:rPr>
        <w:t xml:space="preserve"> quy định tại Thông tư này và không cao hơn mức </w:t>
      </w:r>
      <w:r w:rsidR="00974DBF" w:rsidRPr="00815494">
        <w:rPr>
          <w:bCs/>
          <w:lang w:val="nl-NL"/>
        </w:rPr>
        <w:t>giá</w:t>
      </w:r>
      <w:r w:rsidR="0097466B" w:rsidRPr="00815494">
        <w:rPr>
          <w:lang w:val="nl-NL"/>
        </w:rPr>
        <w:t xml:space="preserve"> tối đa tương ứng với khung giá trị tài sản theo giá khởi điểm quy định tại Phụ lục I và Phụ lục II ban hành kèm theo Thông tư này</w:t>
      </w:r>
      <w:r w:rsidR="00A511F8" w:rsidRPr="00815494">
        <w:rPr>
          <w:lang w:val="nl-NL"/>
        </w:rPr>
        <w:t>.</w:t>
      </w:r>
    </w:p>
    <w:p w:rsidR="00A511F8" w:rsidRPr="00815494" w:rsidRDefault="007549F5" w:rsidP="00815494">
      <w:pPr>
        <w:spacing w:before="120" w:after="120" w:line="360" w:lineRule="atLeast"/>
        <w:ind w:firstLine="454"/>
        <w:jc w:val="both"/>
        <w:rPr>
          <w:lang w:val="nl-NL"/>
        </w:rPr>
      </w:pPr>
      <w:r>
        <w:rPr>
          <w:lang w:val="nl-NL"/>
        </w:rPr>
        <w:lastRenderedPageBreak/>
        <w:t>3</w:t>
      </w:r>
      <w:r w:rsidR="00A511F8" w:rsidRPr="00815494">
        <w:rPr>
          <w:lang w:val="nl-NL"/>
        </w:rPr>
        <w:t xml:space="preserve">. Trong thời hạn 20 ngày kể từ ngày kết thúc cuộc đấu giá, người có tài sản đấu giá thanh toán cho tổ chức đấu giá </w:t>
      </w:r>
      <w:r w:rsidR="00974DBF" w:rsidRPr="00815494">
        <w:rPr>
          <w:bCs/>
          <w:lang w:val="nl-NL"/>
        </w:rPr>
        <w:t>giá</w:t>
      </w:r>
      <w:r w:rsidR="00974DBF" w:rsidRPr="00815494">
        <w:rPr>
          <w:lang w:val="nl-NL"/>
        </w:rPr>
        <w:t xml:space="preserve"> </w:t>
      </w:r>
      <w:r w:rsidR="00A511F8" w:rsidRPr="00815494">
        <w:rPr>
          <w:lang w:val="nl-NL"/>
        </w:rPr>
        <w:t>dịch vụ đấu giá tài sản, các chi phí đấu giá quy định tại </w:t>
      </w:r>
      <w:bookmarkStart w:id="3" w:name="dc_4"/>
      <w:r w:rsidR="00A511F8" w:rsidRPr="00815494">
        <w:rPr>
          <w:lang w:val="nl-NL"/>
        </w:rPr>
        <w:t xml:space="preserve">khoản 2 Điều 66 Luật </w:t>
      </w:r>
      <w:r w:rsidR="00DB1640" w:rsidRPr="00815494">
        <w:rPr>
          <w:lang w:val="nl-NL"/>
        </w:rPr>
        <w:t>Đ</w:t>
      </w:r>
      <w:r w:rsidR="00A511F8" w:rsidRPr="00815494">
        <w:rPr>
          <w:lang w:val="nl-NL"/>
        </w:rPr>
        <w:t>ấu giá tài sản</w:t>
      </w:r>
      <w:bookmarkEnd w:id="3"/>
      <w:r w:rsidR="00A511F8" w:rsidRPr="00815494">
        <w:rPr>
          <w:lang w:val="nl-NL"/>
        </w:rPr>
        <w:t>; trừ trường hợp các bên có thỏa thuận hoặc pháp luật có quy định khác.</w:t>
      </w:r>
    </w:p>
    <w:p w:rsidR="00307CFC" w:rsidRPr="00815494" w:rsidRDefault="00307CFC" w:rsidP="00815494">
      <w:pPr>
        <w:spacing w:before="120" w:after="120" w:line="360" w:lineRule="atLeast"/>
        <w:ind w:firstLine="454"/>
        <w:jc w:val="both"/>
        <w:rPr>
          <w:lang w:val="pt-BR"/>
        </w:rPr>
      </w:pPr>
      <w:r w:rsidRPr="00815494">
        <w:rPr>
          <w:b/>
          <w:bCs/>
          <w:lang w:val="pt-BR"/>
        </w:rPr>
        <w:t xml:space="preserve">Điều </w:t>
      </w:r>
      <w:r w:rsidR="004F0259">
        <w:rPr>
          <w:b/>
          <w:bCs/>
          <w:lang w:val="pt-BR"/>
        </w:rPr>
        <w:t>4</w:t>
      </w:r>
      <w:r w:rsidRPr="00815494">
        <w:rPr>
          <w:b/>
          <w:bCs/>
          <w:lang w:val="pt-BR"/>
        </w:rPr>
        <w:t xml:space="preserve">. Quản lý và sử dụng </w:t>
      </w:r>
      <w:r w:rsidR="00974DBF" w:rsidRPr="00815494">
        <w:rPr>
          <w:b/>
          <w:bCs/>
          <w:lang w:val="pt-BR"/>
        </w:rPr>
        <w:t>giá</w:t>
      </w:r>
      <w:r w:rsidRPr="00815494">
        <w:rPr>
          <w:b/>
          <w:bCs/>
          <w:lang w:val="pt-BR"/>
        </w:rPr>
        <w:t xml:space="preserve"> </w:t>
      </w:r>
      <w:r w:rsidRPr="00815494">
        <w:rPr>
          <w:b/>
          <w:bCs/>
          <w:lang w:val="nl-NL"/>
        </w:rPr>
        <w:t>dịch vụ đấu giá tài sản</w:t>
      </w:r>
    </w:p>
    <w:p w:rsidR="00307CFC" w:rsidRPr="00815494" w:rsidRDefault="00307CFC" w:rsidP="00815494">
      <w:pPr>
        <w:spacing w:before="120" w:after="120" w:line="360" w:lineRule="atLeast"/>
        <w:ind w:firstLine="454"/>
        <w:jc w:val="both"/>
        <w:rPr>
          <w:lang w:val="pt-BR"/>
        </w:rPr>
      </w:pPr>
      <w:r w:rsidRPr="00815494">
        <w:rPr>
          <w:lang w:val="pt-BR"/>
        </w:rPr>
        <w:t xml:space="preserve">1. Việc quản lý, sử dụng </w:t>
      </w:r>
      <w:r w:rsidR="00974DBF" w:rsidRPr="00815494">
        <w:rPr>
          <w:bCs/>
          <w:lang w:val="nl-NL"/>
        </w:rPr>
        <w:t>giá</w:t>
      </w:r>
      <w:r w:rsidRPr="00815494">
        <w:rPr>
          <w:lang w:val="pt-BR"/>
        </w:rPr>
        <w:t xml:space="preserve"> dịch vụ đấu giá, chi phí đấu giá tài sản, chi phí dịch vụ và các khoản thu khác của tổ chức đấu giá được quy định tại Điều 68 của Luật </w:t>
      </w:r>
      <w:r w:rsidR="00974DBF" w:rsidRPr="00815494">
        <w:rPr>
          <w:lang w:val="pt-BR"/>
        </w:rPr>
        <w:t>Đ</w:t>
      </w:r>
      <w:r w:rsidRPr="00815494">
        <w:rPr>
          <w:lang w:val="pt-BR"/>
        </w:rPr>
        <w:t>ấu giá tài sản.</w:t>
      </w:r>
    </w:p>
    <w:p w:rsidR="00307CFC" w:rsidRPr="00815494" w:rsidRDefault="00307CFC" w:rsidP="00815494">
      <w:pPr>
        <w:spacing w:before="120" w:after="120" w:line="360" w:lineRule="atLeast"/>
        <w:ind w:firstLine="454"/>
        <w:jc w:val="both"/>
        <w:rPr>
          <w:bCs/>
          <w:spacing w:val="2"/>
          <w:lang w:val="nl-NL"/>
        </w:rPr>
      </w:pPr>
      <w:r w:rsidRPr="00815494">
        <w:rPr>
          <w:lang w:val="pt-BR"/>
        </w:rPr>
        <w:t>2</w:t>
      </w:r>
      <w:r w:rsidRPr="00815494">
        <w:rPr>
          <w:rFonts w:eastAsia="Calibri"/>
          <w:spacing w:val="2"/>
          <w:lang w:val="nl-NL"/>
        </w:rPr>
        <w:t xml:space="preserve">. Các </w:t>
      </w:r>
      <w:r w:rsidRPr="00815494">
        <w:rPr>
          <w:bCs/>
          <w:spacing w:val="2"/>
          <w:lang w:val="nl-NL"/>
        </w:rPr>
        <w:t xml:space="preserve">tổ chức đấu giá phải thực hiện niêm yết </w:t>
      </w:r>
      <w:r w:rsidR="00974DBF" w:rsidRPr="00815494">
        <w:rPr>
          <w:bCs/>
          <w:lang w:val="nl-NL"/>
        </w:rPr>
        <w:t>giá</w:t>
      </w:r>
      <w:r w:rsidRPr="00815494">
        <w:rPr>
          <w:bCs/>
          <w:spacing w:val="2"/>
          <w:lang w:val="nl-NL"/>
        </w:rPr>
        <w:t xml:space="preserve"> dịch vụ đấu giá tài sản, công khai </w:t>
      </w:r>
      <w:r w:rsidR="00974DBF" w:rsidRPr="00815494">
        <w:rPr>
          <w:bCs/>
          <w:lang w:val="nl-NL"/>
        </w:rPr>
        <w:t>giá</w:t>
      </w:r>
      <w:r w:rsidRPr="00815494">
        <w:rPr>
          <w:bCs/>
          <w:spacing w:val="2"/>
          <w:lang w:val="nl-NL"/>
        </w:rPr>
        <w:t xml:space="preserve"> dịch vụ đấu giá tài sản theo từng địa phương nơi tổ chức đấu giá; chấp hành theo quy định của pháp luật về giá, pháp luật về đấu giá tài sản và văn bản pháp luật hướng dẫn có liên quan.</w:t>
      </w:r>
    </w:p>
    <w:p w:rsidR="00307CFC" w:rsidRPr="00815494" w:rsidRDefault="00307CFC" w:rsidP="00815494">
      <w:pPr>
        <w:spacing w:before="120" w:after="120" w:line="360" w:lineRule="atLeast"/>
        <w:ind w:firstLine="454"/>
        <w:jc w:val="both"/>
        <w:rPr>
          <w:spacing w:val="-4"/>
          <w:lang w:val="nl-NL"/>
        </w:rPr>
      </w:pPr>
      <w:r w:rsidRPr="00815494">
        <w:rPr>
          <w:lang w:val="nl-NL"/>
        </w:rPr>
        <w:t xml:space="preserve">3. </w:t>
      </w:r>
      <w:r w:rsidR="00A511F8" w:rsidRPr="00815494">
        <w:rPr>
          <w:rFonts w:eastAsia="Calibri"/>
          <w:spacing w:val="2"/>
          <w:lang w:val="nl-NL"/>
        </w:rPr>
        <w:t>Tổ chức đấu giá tài sản sử dụng hóa đơn cung ứng dịch vụ theo quy định pháp luật về hóa đơn.</w:t>
      </w:r>
    </w:p>
    <w:p w:rsidR="00575FBA" w:rsidRPr="00815494" w:rsidRDefault="00525C80" w:rsidP="00815494">
      <w:pPr>
        <w:spacing w:before="120" w:after="120" w:line="360" w:lineRule="atLeast"/>
        <w:ind w:firstLine="454"/>
        <w:jc w:val="center"/>
        <w:rPr>
          <w:b/>
          <w:bCs/>
          <w:lang w:val="nl-NL"/>
        </w:rPr>
      </w:pPr>
      <w:r w:rsidRPr="00815494">
        <w:rPr>
          <w:b/>
          <w:bCs/>
          <w:lang w:val="nl-NL"/>
        </w:rPr>
        <w:t xml:space="preserve">Chương </w:t>
      </w:r>
      <w:r w:rsidR="00042CB6" w:rsidRPr="00815494">
        <w:rPr>
          <w:b/>
          <w:bCs/>
          <w:lang w:val="nl-NL"/>
        </w:rPr>
        <w:t>III</w:t>
      </w:r>
    </w:p>
    <w:p w:rsidR="00525C80" w:rsidRPr="00815494" w:rsidRDefault="00525C80" w:rsidP="00815494">
      <w:pPr>
        <w:spacing w:before="120" w:after="120" w:line="360" w:lineRule="atLeast"/>
        <w:ind w:firstLine="454"/>
        <w:jc w:val="center"/>
        <w:rPr>
          <w:b/>
          <w:bCs/>
        </w:rPr>
      </w:pPr>
      <w:r w:rsidRPr="00815494">
        <w:rPr>
          <w:b/>
          <w:bCs/>
        </w:rPr>
        <w:t>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p>
    <w:p w:rsidR="00525C80" w:rsidRPr="00815494" w:rsidRDefault="00525C80" w:rsidP="00815494">
      <w:pPr>
        <w:spacing w:before="120" w:after="120" w:line="360" w:lineRule="atLeast"/>
        <w:jc w:val="center"/>
        <w:rPr>
          <w:b/>
          <w:bCs/>
        </w:rPr>
      </w:pPr>
      <w:r w:rsidRPr="00815494">
        <w:rPr>
          <w:b/>
          <w:bCs/>
        </w:rPr>
        <w:t>Mục 1. Nguyên tắc thu, chi, mức thu và tổ</w:t>
      </w:r>
      <w:r w:rsidR="007E4FBC" w:rsidRPr="00815494">
        <w:rPr>
          <w:b/>
          <w:bCs/>
        </w:rPr>
        <w:t xml:space="preserve"> chức thu, nộp chi phí đăng tải</w:t>
      </w:r>
      <w:r w:rsidR="00D25B06" w:rsidRPr="00815494">
        <w:rPr>
          <w:b/>
          <w:bCs/>
        </w:rPr>
        <w:t>,</w:t>
      </w:r>
      <w:r w:rsidRPr="00815494">
        <w:rPr>
          <w:b/>
          <w:bCs/>
        </w:rPr>
        <w:t xml:space="preserve"> chi phí </w:t>
      </w:r>
      <w:r w:rsidR="00D25B06" w:rsidRPr="00815494">
        <w:rPr>
          <w:b/>
          <w:bCs/>
        </w:rPr>
        <w:t>sử dụng</w:t>
      </w:r>
      <w:r w:rsidRPr="00815494">
        <w:rPr>
          <w:b/>
          <w:bCs/>
        </w:rPr>
        <w:t xml:space="preserve"> phần mềm đấu giá trực tuyến trên Cổng </w:t>
      </w:r>
      <w:r w:rsidR="000C4F4B" w:rsidRPr="00815494">
        <w:rPr>
          <w:b/>
          <w:bCs/>
        </w:rPr>
        <w:t>Đ</w:t>
      </w:r>
      <w:r w:rsidRPr="00815494">
        <w:rPr>
          <w:b/>
          <w:bCs/>
        </w:rPr>
        <w:t>ấu giá tài sản quốc gia</w:t>
      </w:r>
    </w:p>
    <w:p w:rsidR="00525C80" w:rsidRPr="00815494" w:rsidRDefault="00525C80" w:rsidP="00815494">
      <w:pPr>
        <w:spacing w:before="120" w:after="120" w:line="360" w:lineRule="atLeast"/>
        <w:ind w:firstLine="720"/>
        <w:jc w:val="both"/>
        <w:rPr>
          <w:b/>
          <w:bCs/>
        </w:rPr>
      </w:pPr>
      <w:r w:rsidRPr="00815494">
        <w:rPr>
          <w:b/>
          <w:bCs/>
        </w:rPr>
        <w:t xml:space="preserve">Điều </w:t>
      </w:r>
      <w:r w:rsidR="004F0259">
        <w:rPr>
          <w:b/>
          <w:bCs/>
        </w:rPr>
        <w:t>5</w:t>
      </w:r>
      <w:r w:rsidRPr="00815494">
        <w:rPr>
          <w:b/>
          <w:bCs/>
        </w:rPr>
        <w:t>. Nguyên tắc thu, chi đối với các khoản thu chi phí</w:t>
      </w:r>
      <w:r w:rsidR="00525E4D" w:rsidRPr="00815494">
        <w:rPr>
          <w:b/>
          <w:bCs/>
        </w:rPr>
        <w:t xml:space="preserve"> đăng tải và chi phí </w:t>
      </w:r>
      <w:r w:rsidR="00B90B19" w:rsidRPr="00815494">
        <w:rPr>
          <w:b/>
          <w:bCs/>
        </w:rPr>
        <w:t>sử dụng</w:t>
      </w:r>
      <w:r w:rsidR="00525E4D" w:rsidRPr="00815494">
        <w:rPr>
          <w:b/>
          <w:bCs/>
        </w:rPr>
        <w:t xml:space="preserve"> phần mềm đấu giá trực tuyến trên Cổng Đấu giá tài sản quốc gia</w:t>
      </w:r>
    </w:p>
    <w:p w:rsidR="00525C80" w:rsidRPr="00815494" w:rsidRDefault="00525C80" w:rsidP="00815494">
      <w:pPr>
        <w:spacing w:before="120" w:after="120" w:line="360" w:lineRule="atLeast"/>
        <w:ind w:firstLine="720"/>
        <w:jc w:val="both"/>
        <w:rPr>
          <w:bCs/>
        </w:rPr>
      </w:pPr>
      <w:r w:rsidRPr="00815494">
        <w:rPr>
          <w:bCs/>
        </w:rPr>
        <w:t xml:space="preserve">1. </w:t>
      </w:r>
      <w:r w:rsidR="001B00CA" w:rsidRPr="00815494">
        <w:rPr>
          <w:bCs/>
        </w:rPr>
        <w:t>Tổ chức được giao vận hành Cổng Đấu giá tài sản quốc gia</w:t>
      </w:r>
      <w:r w:rsidRPr="00815494">
        <w:rPr>
          <w:bCs/>
        </w:rPr>
        <w:t xml:space="preserve"> có trách nhiệm thu, quản lý và sử dụng các khoản thu chi phí đăng tải</w:t>
      </w:r>
      <w:r w:rsidR="001B00CA" w:rsidRPr="00815494">
        <w:rPr>
          <w:bCs/>
        </w:rPr>
        <w:t xml:space="preserve">, </w:t>
      </w:r>
      <w:r w:rsidR="00E01DF5" w:rsidRPr="00815494">
        <w:rPr>
          <w:bCs/>
        </w:rPr>
        <w:t xml:space="preserve">chi phí </w:t>
      </w:r>
      <w:r w:rsidR="001B00CA" w:rsidRPr="00815494">
        <w:rPr>
          <w:bCs/>
        </w:rPr>
        <w:t>sử dụng</w:t>
      </w:r>
      <w:r w:rsidR="00E01DF5" w:rsidRPr="00815494">
        <w:rPr>
          <w:bCs/>
        </w:rPr>
        <w:t xml:space="preserve"> phần mềm đấu giá trực tuyến trên</w:t>
      </w:r>
      <w:r w:rsidRPr="00815494">
        <w:rPr>
          <w:bCs/>
        </w:rPr>
        <w:t xml:space="preserve"> Cổng Đấu giá tài sản quốc </w:t>
      </w:r>
      <w:r w:rsidR="007E4FBC" w:rsidRPr="00815494">
        <w:rPr>
          <w:bCs/>
        </w:rPr>
        <w:t>gia theo quy định tại</w:t>
      </w:r>
      <w:r w:rsidRPr="00815494">
        <w:rPr>
          <w:bCs/>
        </w:rPr>
        <w:t xml:space="preserve"> Thông tư này.</w:t>
      </w:r>
    </w:p>
    <w:p w:rsidR="00525C80" w:rsidRPr="00815494" w:rsidRDefault="00525C80" w:rsidP="00815494">
      <w:pPr>
        <w:spacing w:before="120" w:after="120" w:line="360" w:lineRule="atLeast"/>
        <w:ind w:firstLine="720"/>
        <w:jc w:val="both"/>
        <w:rPr>
          <w:bCs/>
        </w:rPr>
      </w:pPr>
      <w:r w:rsidRPr="00815494">
        <w:rPr>
          <w:bCs/>
        </w:rPr>
        <w:t>2. Nguồn thu từ chi phí đăng tải</w:t>
      </w:r>
      <w:r w:rsidR="001B00CA" w:rsidRPr="00815494">
        <w:rPr>
          <w:bCs/>
        </w:rPr>
        <w:t xml:space="preserve">, </w:t>
      </w:r>
      <w:r w:rsidR="00E01DF5" w:rsidRPr="00815494">
        <w:rPr>
          <w:bCs/>
        </w:rPr>
        <w:t xml:space="preserve">chi phí </w:t>
      </w:r>
      <w:r w:rsidR="001B00CA" w:rsidRPr="00815494">
        <w:rPr>
          <w:bCs/>
        </w:rPr>
        <w:t>sử dụng</w:t>
      </w:r>
      <w:r w:rsidR="00E01DF5" w:rsidRPr="00815494">
        <w:rPr>
          <w:bCs/>
        </w:rPr>
        <w:t xml:space="preserve"> phần mềm đấu giá trực tuyến </w:t>
      </w:r>
      <w:r w:rsidRPr="00815494">
        <w:rPr>
          <w:bCs/>
        </w:rPr>
        <w:t>trên Cổng Đấu giá tài sản quốc gia để thực hiện các nhiệm vụ sau đây:</w:t>
      </w:r>
    </w:p>
    <w:p w:rsidR="00525C80" w:rsidRPr="00815494" w:rsidRDefault="00525C80" w:rsidP="00815494">
      <w:pPr>
        <w:spacing w:before="120" w:after="120" w:line="360" w:lineRule="atLeast"/>
        <w:ind w:firstLine="720"/>
        <w:jc w:val="both"/>
        <w:rPr>
          <w:bCs/>
        </w:rPr>
      </w:pPr>
      <w:r w:rsidRPr="00815494">
        <w:rPr>
          <w:bCs/>
        </w:rPr>
        <w:t>a) Quản lý, duy trì, vận hành và phát triển Cổng Đấu giá tài sản quốc gia;</w:t>
      </w:r>
    </w:p>
    <w:p w:rsidR="00525C80" w:rsidRPr="00815494" w:rsidRDefault="00525C80" w:rsidP="00815494">
      <w:pPr>
        <w:spacing w:before="120" w:after="120" w:line="360" w:lineRule="atLeast"/>
        <w:ind w:firstLine="720"/>
        <w:jc w:val="both"/>
        <w:rPr>
          <w:rFonts w:eastAsia="Calibri"/>
        </w:rPr>
      </w:pPr>
      <w:r w:rsidRPr="00815494">
        <w:rPr>
          <w:bCs/>
        </w:rPr>
        <w:lastRenderedPageBreak/>
        <w:t>b) Đăng tải thông thông báo lựa chọn tổ chức hành nghề đấu giá tài sản, thông báo công khai việc đấu giá trên Cổng Đấu giá tài sản quốc gia</w:t>
      </w:r>
      <w:r w:rsidR="00E01DF5" w:rsidRPr="00815494">
        <w:rPr>
          <w:bCs/>
        </w:rPr>
        <w:t>, thực hiện đấu giá trực tuyến</w:t>
      </w:r>
      <w:r w:rsidRPr="00815494">
        <w:rPr>
          <w:bCs/>
        </w:rPr>
        <w:t xml:space="preserve"> và các thông tin khác theo </w:t>
      </w:r>
      <w:r w:rsidRPr="00815494">
        <w:rPr>
          <w:rFonts w:eastAsia="Calibri"/>
          <w:lang w:val="vi-VN"/>
        </w:rPr>
        <w:t>quy định của pháp luật</w:t>
      </w:r>
      <w:r w:rsidRPr="00815494">
        <w:rPr>
          <w:rFonts w:eastAsia="Calibri"/>
        </w:rPr>
        <w:t>.</w:t>
      </w:r>
    </w:p>
    <w:p w:rsidR="00525C80" w:rsidRPr="00815494" w:rsidRDefault="00525C80" w:rsidP="00815494">
      <w:pPr>
        <w:spacing w:before="120" w:after="120" w:line="360" w:lineRule="atLeast"/>
        <w:ind w:firstLine="720"/>
        <w:jc w:val="both"/>
        <w:rPr>
          <w:rFonts w:eastAsia="Calibri"/>
        </w:rPr>
      </w:pPr>
      <w:r w:rsidRPr="00815494">
        <w:rPr>
          <w:rFonts w:eastAsia="Calibri"/>
        </w:rPr>
        <w:t>c) Các nhiệm vụ chi thường xuyên khác liên quan đến việc tổ chức quản lý, duy trì, vận hành và phát triển Cổng Đấu giá tài sản quốc gia.</w:t>
      </w:r>
    </w:p>
    <w:p w:rsidR="00525C80" w:rsidRPr="00815494" w:rsidRDefault="00525C80" w:rsidP="00815494">
      <w:pPr>
        <w:spacing w:before="120" w:after="120" w:line="360" w:lineRule="atLeast"/>
        <w:ind w:firstLine="720"/>
        <w:jc w:val="both"/>
        <w:rPr>
          <w:rFonts w:eastAsia="Calibri"/>
        </w:rPr>
      </w:pPr>
      <w:r w:rsidRPr="00815494">
        <w:rPr>
          <w:rFonts w:eastAsia="Calibri"/>
        </w:rPr>
        <w:t>3. Khoản thu chi phí đăng tải</w:t>
      </w:r>
      <w:r w:rsidR="001B00CA" w:rsidRPr="00815494">
        <w:rPr>
          <w:rFonts w:eastAsia="Calibri"/>
        </w:rPr>
        <w:t>,</w:t>
      </w:r>
      <w:r w:rsidR="00B24F48" w:rsidRPr="00815494">
        <w:rPr>
          <w:rFonts w:eastAsia="Calibri"/>
        </w:rPr>
        <w:t xml:space="preserve"> </w:t>
      </w:r>
      <w:r w:rsidR="00B24F48" w:rsidRPr="00815494">
        <w:rPr>
          <w:bCs/>
        </w:rPr>
        <w:t xml:space="preserve">chi phí </w:t>
      </w:r>
      <w:r w:rsidR="001B00CA" w:rsidRPr="00815494">
        <w:rPr>
          <w:bCs/>
        </w:rPr>
        <w:t xml:space="preserve">sử dụng </w:t>
      </w:r>
      <w:r w:rsidR="00B24F48" w:rsidRPr="00815494">
        <w:rPr>
          <w:bCs/>
        </w:rPr>
        <w:t>phần mềm đấu giá trực tuyến</w:t>
      </w:r>
      <w:r w:rsidRPr="00815494">
        <w:rPr>
          <w:rFonts w:eastAsia="Calibri"/>
        </w:rPr>
        <w:t xml:space="preserve"> trên Cổng Đấu giá tài sản quốc gia để phục vụ hoạt động của </w:t>
      </w:r>
      <w:r w:rsidR="00715D79" w:rsidRPr="00815494">
        <w:rPr>
          <w:rFonts w:eastAsia="Calibri"/>
        </w:rPr>
        <w:t>T</w:t>
      </w:r>
      <w:r w:rsidR="001B00CA" w:rsidRPr="00815494">
        <w:rPr>
          <w:rFonts w:eastAsia="Calibri"/>
        </w:rPr>
        <w:t>ổ chức được giao vận hành Cổng Đấu giá tài sản quốc gia</w:t>
      </w:r>
      <w:r w:rsidRPr="00815494">
        <w:rPr>
          <w:rFonts w:eastAsia="Calibri"/>
        </w:rPr>
        <w:t xml:space="preserve"> theo cơ chế tự chủ về tài chính đối với đơn vị sự nghiệp công lập.</w:t>
      </w:r>
    </w:p>
    <w:p w:rsidR="00525C80" w:rsidRPr="00815494" w:rsidRDefault="00525C80" w:rsidP="00815494">
      <w:pPr>
        <w:spacing w:before="120" w:after="120" w:line="360" w:lineRule="atLeast"/>
        <w:ind w:firstLine="720"/>
        <w:jc w:val="both"/>
        <w:rPr>
          <w:rFonts w:eastAsia="Calibri"/>
        </w:rPr>
      </w:pPr>
      <w:r w:rsidRPr="00815494">
        <w:rPr>
          <w:rFonts w:eastAsia="Calibri"/>
        </w:rPr>
        <w:t>4. Không sử dụng nguồn ngân sách nhà nước để thực hiện các nhiệm vụ quy định tại khoản 2 Điều này. Chênh lệch thu chi được hạch toán vào các quỹ theo quy định của pháp luật hiện hành và chỉ phục vụ cho các nhiệm vụ quy định tại khoản 2 Điều này.</w:t>
      </w:r>
    </w:p>
    <w:p w:rsidR="00525C80" w:rsidRPr="00815494" w:rsidRDefault="00525C80" w:rsidP="00815494">
      <w:pPr>
        <w:spacing w:before="120" w:after="120" w:line="360" w:lineRule="atLeast"/>
        <w:ind w:firstLine="720"/>
        <w:jc w:val="both"/>
        <w:rPr>
          <w:b/>
          <w:bCs/>
        </w:rPr>
      </w:pPr>
      <w:r w:rsidRPr="00815494">
        <w:rPr>
          <w:b/>
          <w:bCs/>
        </w:rPr>
        <w:t xml:space="preserve">Điều </w:t>
      </w:r>
      <w:r w:rsidR="004F0259">
        <w:rPr>
          <w:b/>
          <w:bCs/>
        </w:rPr>
        <w:t>6</w:t>
      </w:r>
      <w:r w:rsidRPr="00815494">
        <w:rPr>
          <w:b/>
          <w:bCs/>
          <w:lang w:val="vi-VN"/>
        </w:rPr>
        <w:t xml:space="preserve">. </w:t>
      </w:r>
      <w:r w:rsidRPr="00815494">
        <w:rPr>
          <w:b/>
          <w:bCs/>
        </w:rPr>
        <w:t xml:space="preserve">Mức thu các loại chi phí </w:t>
      </w:r>
      <w:r w:rsidR="00D065C7" w:rsidRPr="00815494">
        <w:rPr>
          <w:b/>
          <w:bCs/>
        </w:rPr>
        <w:t>đăng tải</w:t>
      </w:r>
      <w:r w:rsidR="00715D79" w:rsidRPr="00815494">
        <w:rPr>
          <w:b/>
          <w:bCs/>
        </w:rPr>
        <w:t xml:space="preserve">, </w:t>
      </w:r>
      <w:r w:rsidR="00D065C7" w:rsidRPr="00815494">
        <w:rPr>
          <w:b/>
          <w:bCs/>
        </w:rPr>
        <w:t xml:space="preserve">chi phí </w:t>
      </w:r>
      <w:r w:rsidR="00715D79" w:rsidRPr="00815494">
        <w:rPr>
          <w:b/>
          <w:bCs/>
        </w:rPr>
        <w:t>sử dụng</w:t>
      </w:r>
      <w:r w:rsidR="00D065C7" w:rsidRPr="00815494">
        <w:rPr>
          <w:b/>
          <w:bCs/>
        </w:rPr>
        <w:t xml:space="preserve"> phần mềm đấu giá trực tuyến trên Cổng Đấu giá tài sản quốc gia</w:t>
      </w:r>
    </w:p>
    <w:p w:rsidR="00715D79" w:rsidRPr="00815494" w:rsidRDefault="00B24F48" w:rsidP="00815494">
      <w:pPr>
        <w:spacing w:before="120" w:after="120" w:line="360" w:lineRule="atLeast"/>
        <w:ind w:firstLine="720"/>
        <w:jc w:val="both"/>
        <w:rPr>
          <w:bCs/>
        </w:rPr>
      </w:pPr>
      <w:r w:rsidRPr="00815494">
        <w:rPr>
          <w:bCs/>
        </w:rPr>
        <w:t>1.</w:t>
      </w:r>
      <w:r w:rsidR="00525C80" w:rsidRPr="00815494">
        <w:rPr>
          <w:bCs/>
        </w:rPr>
        <w:t xml:space="preserve"> Chi phí đăng thông báo lựa chọn tổ chức hành nghề đấu giá</w:t>
      </w:r>
      <w:r w:rsidR="006566DD" w:rsidRPr="00815494">
        <w:rPr>
          <w:bCs/>
        </w:rPr>
        <w:t xml:space="preserve"> tài sản</w:t>
      </w:r>
      <w:r w:rsidR="00525C80" w:rsidRPr="00815494">
        <w:rPr>
          <w:bCs/>
        </w:rPr>
        <w:t xml:space="preserve"> là </w:t>
      </w:r>
      <w:r w:rsidR="00715D79" w:rsidRPr="00815494">
        <w:rPr>
          <w:bCs/>
        </w:rPr>
        <w:t>150.000 đồng/01 lần thông báo (Một trăm năm mươi nghìn đồng/một lần thông báo). Một lần thông báo bao gồm thông báo lựa chọn và thông báo kết quả lựa chọn.</w:t>
      </w:r>
    </w:p>
    <w:p w:rsidR="00525C80" w:rsidRPr="00815494" w:rsidRDefault="00B24F48" w:rsidP="00815494">
      <w:pPr>
        <w:spacing w:before="120" w:after="120" w:line="360" w:lineRule="atLeast"/>
        <w:ind w:firstLine="720"/>
        <w:jc w:val="both"/>
        <w:rPr>
          <w:bCs/>
        </w:rPr>
      </w:pPr>
      <w:r w:rsidRPr="00815494">
        <w:rPr>
          <w:bCs/>
        </w:rPr>
        <w:t>2.</w:t>
      </w:r>
      <w:r w:rsidR="00525C80" w:rsidRPr="00815494">
        <w:rPr>
          <w:bCs/>
        </w:rPr>
        <w:t xml:space="preserve"> Chi phí đăng thông báo công khai việc đấu giá</w:t>
      </w:r>
      <w:r w:rsidR="006566DD" w:rsidRPr="00815494">
        <w:rPr>
          <w:bCs/>
        </w:rPr>
        <w:t xml:space="preserve"> tài sản</w:t>
      </w:r>
      <w:r w:rsidR="00525C80" w:rsidRPr="00815494">
        <w:rPr>
          <w:bCs/>
        </w:rPr>
        <w:t xml:space="preserve"> là 330.000 đồng/01 lần thông báo</w:t>
      </w:r>
      <w:r w:rsidR="00945035" w:rsidRPr="00815494">
        <w:rPr>
          <w:bCs/>
        </w:rPr>
        <w:t xml:space="preserve"> (Ba trăm ba mươi nghìn đồng/một lần thông báo)</w:t>
      </w:r>
      <w:r w:rsidR="00525C80" w:rsidRPr="00815494">
        <w:rPr>
          <w:bCs/>
        </w:rPr>
        <w:t>.</w:t>
      </w:r>
    </w:p>
    <w:p w:rsidR="00525C80" w:rsidRPr="00815494" w:rsidRDefault="00B24F48" w:rsidP="00815494">
      <w:pPr>
        <w:spacing w:before="120" w:after="120" w:line="360" w:lineRule="atLeast"/>
        <w:ind w:firstLine="720"/>
        <w:jc w:val="both"/>
        <w:rPr>
          <w:bCs/>
        </w:rPr>
      </w:pPr>
      <w:r w:rsidRPr="00815494">
        <w:rPr>
          <w:bCs/>
        </w:rPr>
        <w:t xml:space="preserve">3. </w:t>
      </w:r>
      <w:r w:rsidR="00715D79" w:rsidRPr="00815494">
        <w:rPr>
          <w:bCs/>
        </w:rPr>
        <w:t>Chi phí sử dụng</w:t>
      </w:r>
      <w:r w:rsidR="00525C80" w:rsidRPr="00815494">
        <w:rPr>
          <w:bCs/>
        </w:rPr>
        <w:t xml:space="preserve"> phần mềm đấu giá trực tuyến trên Cổng Đấu giá tài sản quốc gia để tổ chức cuộc đấu giá bằng hình thức đấu giá trực tuyến </w:t>
      </w:r>
      <w:r w:rsidR="006566DD" w:rsidRPr="00815494">
        <w:rPr>
          <w:bCs/>
        </w:rPr>
        <w:t>là 3.000.000 đồng/</w:t>
      </w:r>
      <w:r w:rsidR="00945035" w:rsidRPr="00815494">
        <w:rPr>
          <w:bCs/>
        </w:rPr>
        <w:t>01</w:t>
      </w:r>
      <w:r w:rsidR="00715D79" w:rsidRPr="00815494">
        <w:rPr>
          <w:bCs/>
        </w:rPr>
        <w:t xml:space="preserve"> </w:t>
      </w:r>
      <w:r w:rsidR="006566DD" w:rsidRPr="00815494">
        <w:rPr>
          <w:bCs/>
        </w:rPr>
        <w:t>phiên đấu giá</w:t>
      </w:r>
      <w:r w:rsidR="00945035" w:rsidRPr="00815494">
        <w:rPr>
          <w:bCs/>
        </w:rPr>
        <w:t xml:space="preserve"> (Ba triệu đồng/một phiên đấu giá)</w:t>
      </w:r>
      <w:r w:rsidR="00525C80" w:rsidRPr="00815494">
        <w:rPr>
          <w:bCs/>
        </w:rPr>
        <w:t>.</w:t>
      </w:r>
    </w:p>
    <w:p w:rsidR="00945035" w:rsidRPr="00815494" w:rsidRDefault="00715D79" w:rsidP="00815494">
      <w:pPr>
        <w:spacing w:before="120" w:after="120" w:line="360" w:lineRule="atLeast"/>
        <w:ind w:firstLine="720"/>
        <w:jc w:val="both"/>
        <w:rPr>
          <w:bCs/>
        </w:rPr>
      </w:pPr>
      <w:r w:rsidRPr="00815494">
        <w:rPr>
          <w:bCs/>
        </w:rPr>
        <w:t>4</w:t>
      </w:r>
      <w:r w:rsidR="00945035" w:rsidRPr="00815494">
        <w:rPr>
          <w:bCs/>
        </w:rPr>
        <w:t xml:space="preserve">. </w:t>
      </w:r>
      <w:r w:rsidR="00945035" w:rsidRPr="00815494">
        <w:rPr>
          <w:bCs/>
          <w:lang w:val="nl-NL"/>
        </w:rPr>
        <w:t>Chi phí</w:t>
      </w:r>
      <w:r w:rsidR="00945035" w:rsidRPr="00815494">
        <w:rPr>
          <w:lang w:val="nl-NL"/>
        </w:rPr>
        <w:t xml:space="preserve"> quy định tại khoản 1, 2, 3 Điều này chưa bao gồm thuế giá trị gia tăng </w:t>
      </w:r>
    </w:p>
    <w:p w:rsidR="00525C80" w:rsidRPr="00815494" w:rsidRDefault="00525C80" w:rsidP="00815494">
      <w:pPr>
        <w:spacing w:before="120" w:after="120" w:line="360" w:lineRule="atLeast"/>
        <w:ind w:firstLine="720"/>
        <w:jc w:val="both"/>
        <w:rPr>
          <w:bCs/>
        </w:rPr>
      </w:pPr>
      <w:r w:rsidRPr="00815494">
        <w:rPr>
          <w:b/>
          <w:bCs/>
        </w:rPr>
        <w:t xml:space="preserve">Điều </w:t>
      </w:r>
      <w:r w:rsidR="004F0259">
        <w:rPr>
          <w:b/>
          <w:bCs/>
        </w:rPr>
        <w:t>7</w:t>
      </w:r>
      <w:r w:rsidRPr="00815494">
        <w:rPr>
          <w:b/>
          <w:bCs/>
        </w:rPr>
        <w:t>. Tổ chức thu, nộp chi phí đăng tải</w:t>
      </w:r>
      <w:r w:rsidR="00715D79" w:rsidRPr="00815494">
        <w:rPr>
          <w:b/>
          <w:bCs/>
        </w:rPr>
        <w:t xml:space="preserve">, </w:t>
      </w:r>
      <w:r w:rsidRPr="00815494">
        <w:rPr>
          <w:b/>
          <w:bCs/>
        </w:rPr>
        <w:t xml:space="preserve">chi phí </w:t>
      </w:r>
      <w:r w:rsidR="00715D79" w:rsidRPr="00815494">
        <w:rPr>
          <w:b/>
          <w:bCs/>
        </w:rPr>
        <w:t>sử dụng</w:t>
      </w:r>
      <w:r w:rsidRPr="00815494">
        <w:rPr>
          <w:b/>
          <w:bCs/>
        </w:rPr>
        <w:t xml:space="preserve"> phần mềm đấu giá trực tuyến trên Cổng Đấu giá tài sản quốc gia</w:t>
      </w:r>
    </w:p>
    <w:p w:rsidR="00525C80" w:rsidRPr="00815494" w:rsidRDefault="00525C80" w:rsidP="00815494">
      <w:pPr>
        <w:spacing w:before="120" w:after="120" w:line="360" w:lineRule="atLeast"/>
        <w:ind w:firstLine="720"/>
        <w:jc w:val="both"/>
        <w:rPr>
          <w:bCs/>
        </w:rPr>
      </w:pPr>
      <w:r w:rsidRPr="00815494">
        <w:rPr>
          <w:bCs/>
        </w:rPr>
        <w:t xml:space="preserve">1. </w:t>
      </w:r>
      <w:r w:rsidR="00715D79" w:rsidRPr="00815494">
        <w:rPr>
          <w:rFonts w:eastAsia="Calibri"/>
        </w:rPr>
        <w:t>Tổ chức được giao vận hành Cổng Đấu giá tài sản quốc gia</w:t>
      </w:r>
      <w:r w:rsidRPr="00815494">
        <w:rPr>
          <w:bCs/>
        </w:rPr>
        <w:t xml:space="preserve"> chịu trách nhiệm thu các loại chi phí đăng tải</w:t>
      </w:r>
      <w:r w:rsidR="00715D79" w:rsidRPr="00815494">
        <w:rPr>
          <w:bCs/>
        </w:rPr>
        <w:t>,</w:t>
      </w:r>
      <w:r w:rsidRPr="00815494">
        <w:rPr>
          <w:bCs/>
        </w:rPr>
        <w:t xml:space="preserve"> chi phí</w:t>
      </w:r>
      <w:r w:rsidR="00715D79" w:rsidRPr="00815494">
        <w:rPr>
          <w:bCs/>
        </w:rPr>
        <w:t xml:space="preserve"> sử dụng</w:t>
      </w:r>
      <w:r w:rsidRPr="00815494">
        <w:rPr>
          <w:bCs/>
        </w:rPr>
        <w:t xml:space="preserve"> phần mềm đấu giá trực tuyến trên Cổng Đấu giá tài sản quốc gia tại Điều </w:t>
      </w:r>
      <w:r w:rsidR="004247E4" w:rsidRPr="00815494">
        <w:rPr>
          <w:bCs/>
        </w:rPr>
        <w:t>7</w:t>
      </w:r>
      <w:r w:rsidRPr="00815494">
        <w:rPr>
          <w:bCs/>
        </w:rPr>
        <w:t xml:space="preserve"> Thông tư này. Tài khoản thu là tài khoản đồng Việt Nam của </w:t>
      </w:r>
      <w:r w:rsidR="00715D79" w:rsidRPr="00815494">
        <w:rPr>
          <w:rFonts w:eastAsia="Calibri"/>
        </w:rPr>
        <w:t>Tổ chức được giao vận hành Cổng Đấu giá tài sản quốc gia</w:t>
      </w:r>
      <w:r w:rsidRPr="00815494">
        <w:rPr>
          <w:bCs/>
        </w:rPr>
        <w:t xml:space="preserve"> mở tại ngân hàng thương mại.</w:t>
      </w:r>
    </w:p>
    <w:p w:rsidR="00525C80" w:rsidRPr="00815494" w:rsidRDefault="00525C80" w:rsidP="00815494">
      <w:pPr>
        <w:spacing w:before="120" w:after="120" w:line="360" w:lineRule="atLeast"/>
        <w:ind w:firstLine="720"/>
        <w:jc w:val="both"/>
        <w:rPr>
          <w:bCs/>
        </w:rPr>
      </w:pPr>
      <w:r w:rsidRPr="00815494">
        <w:rPr>
          <w:bCs/>
        </w:rPr>
        <w:lastRenderedPageBreak/>
        <w:t>2. Nộp chi phí đăng tải</w:t>
      </w:r>
      <w:r w:rsidR="00715D79" w:rsidRPr="00815494">
        <w:rPr>
          <w:bCs/>
        </w:rPr>
        <w:t xml:space="preserve">, </w:t>
      </w:r>
      <w:r w:rsidRPr="00815494">
        <w:rPr>
          <w:bCs/>
        </w:rPr>
        <w:t xml:space="preserve">chi phí </w:t>
      </w:r>
      <w:r w:rsidR="00715D79" w:rsidRPr="00815494">
        <w:rPr>
          <w:bCs/>
        </w:rPr>
        <w:t>sử dụng</w:t>
      </w:r>
      <w:r w:rsidRPr="00815494">
        <w:rPr>
          <w:bCs/>
        </w:rPr>
        <w:t xml:space="preserve"> phần mềm đấu giá trực tuyến trên Cổng Đấu giá tài sản quốc gia</w:t>
      </w:r>
      <w:r w:rsidR="00715D79" w:rsidRPr="00815494">
        <w:rPr>
          <w:bCs/>
        </w:rPr>
        <w:t xml:space="preserve"> thực hiện như sau:</w:t>
      </w:r>
    </w:p>
    <w:p w:rsidR="00525C80" w:rsidRPr="00815494" w:rsidRDefault="00525C80" w:rsidP="00815494">
      <w:pPr>
        <w:spacing w:before="120" w:after="120" w:line="360" w:lineRule="atLeast"/>
        <w:ind w:firstLine="720"/>
        <w:jc w:val="both"/>
        <w:rPr>
          <w:bCs/>
        </w:rPr>
      </w:pPr>
      <w:r w:rsidRPr="00815494">
        <w:rPr>
          <w:bCs/>
        </w:rPr>
        <w:t xml:space="preserve">a) Tổ chức, cá nhân nộp chi phí đăng tải trên Cổng Đấu giá tài sản quốc gia theo quy định tại </w:t>
      </w:r>
      <w:r w:rsidR="004873B2" w:rsidRPr="00815494">
        <w:rPr>
          <w:bCs/>
        </w:rPr>
        <w:t xml:space="preserve">khoản 1, </w:t>
      </w:r>
      <w:r w:rsidR="00715D79" w:rsidRPr="00815494">
        <w:rPr>
          <w:bCs/>
        </w:rPr>
        <w:t xml:space="preserve">khoản </w:t>
      </w:r>
      <w:r w:rsidR="004873B2" w:rsidRPr="00815494">
        <w:rPr>
          <w:bCs/>
        </w:rPr>
        <w:t xml:space="preserve">2 </w:t>
      </w:r>
      <w:r w:rsidRPr="00815494">
        <w:rPr>
          <w:bCs/>
        </w:rPr>
        <w:t xml:space="preserve">Điều </w:t>
      </w:r>
      <w:r w:rsidR="004873B2" w:rsidRPr="00815494">
        <w:rPr>
          <w:bCs/>
        </w:rPr>
        <w:t>7</w:t>
      </w:r>
      <w:r w:rsidRPr="00815494">
        <w:rPr>
          <w:bCs/>
        </w:rPr>
        <w:t xml:space="preserve"> Thông tư này trong thời hạn tối đa là </w:t>
      </w:r>
      <w:r w:rsidR="004873B2" w:rsidRPr="00815494">
        <w:rPr>
          <w:bCs/>
        </w:rPr>
        <w:t>14</w:t>
      </w:r>
      <w:r w:rsidRPr="00815494">
        <w:rPr>
          <w:bCs/>
        </w:rPr>
        <w:t xml:space="preserve"> ngày, kể từ ngày thông tin được đăng tải hợp lệ trên Cổng Đấu giá tài sản</w:t>
      </w:r>
      <w:r w:rsidR="00715D79" w:rsidRPr="00815494">
        <w:rPr>
          <w:bCs/>
        </w:rPr>
        <w:t xml:space="preserve"> quốc gia</w:t>
      </w:r>
      <w:r w:rsidRPr="00815494">
        <w:rPr>
          <w:bCs/>
        </w:rPr>
        <w:t>.</w:t>
      </w:r>
    </w:p>
    <w:p w:rsidR="00C32655" w:rsidRPr="00815494" w:rsidRDefault="008D283D" w:rsidP="00815494">
      <w:pPr>
        <w:spacing w:before="120" w:after="120" w:line="360" w:lineRule="atLeast"/>
        <w:ind w:firstLine="720"/>
        <w:jc w:val="both"/>
        <w:rPr>
          <w:bCs/>
        </w:rPr>
      </w:pPr>
      <w:r w:rsidRPr="00815494">
        <w:rPr>
          <w:bCs/>
        </w:rPr>
        <w:t xml:space="preserve">b) Tổ chức, cá nhân </w:t>
      </w:r>
      <w:r w:rsidR="00525C80" w:rsidRPr="00815494">
        <w:rPr>
          <w:bCs/>
        </w:rPr>
        <w:t xml:space="preserve">nộp tiền </w:t>
      </w:r>
      <w:r w:rsidR="002867E3" w:rsidRPr="00815494">
        <w:rPr>
          <w:bCs/>
        </w:rPr>
        <w:t>sử dụng</w:t>
      </w:r>
      <w:r w:rsidR="00525C80" w:rsidRPr="00815494">
        <w:rPr>
          <w:bCs/>
        </w:rPr>
        <w:t xml:space="preserve"> phần mềm đấu giá trực tuyến trên Cổng Đấu giá tài sản quốc gia theo quy định tại </w:t>
      </w:r>
      <w:r w:rsidR="002867E3" w:rsidRPr="00815494">
        <w:rPr>
          <w:bCs/>
        </w:rPr>
        <w:t xml:space="preserve">khoản </w:t>
      </w:r>
      <w:r w:rsidR="004873B2" w:rsidRPr="00815494">
        <w:rPr>
          <w:bCs/>
        </w:rPr>
        <w:t xml:space="preserve">3 </w:t>
      </w:r>
      <w:r w:rsidR="00525C80" w:rsidRPr="00815494">
        <w:rPr>
          <w:bCs/>
        </w:rPr>
        <w:t xml:space="preserve">Điều </w:t>
      </w:r>
      <w:r w:rsidR="004873B2" w:rsidRPr="00815494">
        <w:rPr>
          <w:bCs/>
        </w:rPr>
        <w:t>7</w:t>
      </w:r>
      <w:r w:rsidR="00525C80" w:rsidRPr="00815494">
        <w:rPr>
          <w:bCs/>
        </w:rPr>
        <w:t xml:space="preserve"> Thông tư này trong thời hạn tối đa là</w:t>
      </w:r>
      <w:r w:rsidR="004873B2" w:rsidRPr="00815494">
        <w:rPr>
          <w:bCs/>
        </w:rPr>
        <w:t xml:space="preserve"> 14</w:t>
      </w:r>
      <w:r w:rsidR="00525C80" w:rsidRPr="00815494">
        <w:rPr>
          <w:bCs/>
        </w:rPr>
        <w:t xml:space="preserve"> ngày, kể từ ngày </w:t>
      </w:r>
      <w:r w:rsidR="002867E3" w:rsidRPr="00815494">
        <w:rPr>
          <w:bCs/>
        </w:rPr>
        <w:t>kết thúc cuộc đấu giá</w:t>
      </w:r>
      <w:r w:rsidR="00525C80" w:rsidRPr="00815494">
        <w:rPr>
          <w:bCs/>
        </w:rPr>
        <w:t>.</w:t>
      </w:r>
    </w:p>
    <w:p w:rsidR="00525C80" w:rsidRPr="00815494" w:rsidRDefault="00525C80" w:rsidP="00815494">
      <w:pPr>
        <w:spacing w:before="120" w:after="120" w:line="360" w:lineRule="atLeast"/>
        <w:ind w:firstLine="454"/>
        <w:jc w:val="both"/>
        <w:rPr>
          <w:b/>
          <w:bCs/>
        </w:rPr>
      </w:pPr>
      <w:r w:rsidRPr="00815494">
        <w:rPr>
          <w:b/>
          <w:bCs/>
        </w:rPr>
        <w:t>Mục 2. Quản lý và sử dụng khoản thu chi phí đăng tải</w:t>
      </w:r>
      <w:r w:rsidR="00BF676D" w:rsidRPr="00815494">
        <w:rPr>
          <w:b/>
          <w:bCs/>
        </w:rPr>
        <w:t>,</w:t>
      </w:r>
      <w:r w:rsidRPr="00815494">
        <w:rPr>
          <w:b/>
          <w:bCs/>
        </w:rPr>
        <w:t xml:space="preserve"> chi phí </w:t>
      </w:r>
      <w:r w:rsidR="00BF676D" w:rsidRPr="00815494">
        <w:rPr>
          <w:b/>
          <w:bCs/>
        </w:rPr>
        <w:t xml:space="preserve">sử dụng </w:t>
      </w:r>
      <w:r w:rsidRPr="00815494">
        <w:rPr>
          <w:b/>
          <w:bCs/>
        </w:rPr>
        <w:t>phần mềm đấu giá trực tuyến trên Cổng đấu giá tài sản quốc gia</w:t>
      </w:r>
    </w:p>
    <w:p w:rsidR="00525C80" w:rsidRPr="00815494" w:rsidRDefault="00525C80" w:rsidP="00815494">
      <w:pPr>
        <w:spacing w:before="120" w:after="120" w:line="360" w:lineRule="atLeast"/>
        <w:ind w:firstLine="720"/>
        <w:jc w:val="both"/>
        <w:rPr>
          <w:b/>
          <w:bCs/>
        </w:rPr>
      </w:pPr>
      <w:r w:rsidRPr="00815494">
        <w:rPr>
          <w:b/>
          <w:bCs/>
        </w:rPr>
        <w:t xml:space="preserve">Điều </w:t>
      </w:r>
      <w:r w:rsidR="004F0259">
        <w:rPr>
          <w:b/>
          <w:bCs/>
        </w:rPr>
        <w:t>8</w:t>
      </w:r>
      <w:r w:rsidRPr="00815494">
        <w:rPr>
          <w:b/>
          <w:bCs/>
        </w:rPr>
        <w:t xml:space="preserve">. Quản lý, sử dụng khoản thu chi phí </w:t>
      </w:r>
      <w:r w:rsidR="00E01DF5" w:rsidRPr="00815494">
        <w:rPr>
          <w:b/>
          <w:bCs/>
        </w:rPr>
        <w:t>đ</w:t>
      </w:r>
      <w:r w:rsidRPr="00815494">
        <w:rPr>
          <w:b/>
          <w:bCs/>
        </w:rPr>
        <w:t>ăng tải</w:t>
      </w:r>
      <w:r w:rsidR="00BF676D" w:rsidRPr="00815494">
        <w:rPr>
          <w:b/>
          <w:bCs/>
        </w:rPr>
        <w:t xml:space="preserve">, </w:t>
      </w:r>
      <w:r w:rsidRPr="00815494">
        <w:rPr>
          <w:b/>
          <w:bCs/>
        </w:rPr>
        <w:t xml:space="preserve">chi </w:t>
      </w:r>
      <w:r w:rsidR="00BF676D" w:rsidRPr="00815494">
        <w:rPr>
          <w:b/>
          <w:bCs/>
        </w:rPr>
        <w:t xml:space="preserve">phí sử dụng </w:t>
      </w:r>
      <w:r w:rsidRPr="00815494">
        <w:rPr>
          <w:b/>
          <w:bCs/>
        </w:rPr>
        <w:t>phần mềm đấu giá trực tuyến trên Cổng Đấu giá tài sản quốc gia</w:t>
      </w:r>
    </w:p>
    <w:p w:rsidR="00525C80" w:rsidRPr="00815494" w:rsidRDefault="00525C80" w:rsidP="00815494">
      <w:pPr>
        <w:spacing w:before="120" w:after="120" w:line="360" w:lineRule="atLeast"/>
        <w:ind w:firstLine="720"/>
        <w:jc w:val="both"/>
        <w:rPr>
          <w:bCs/>
        </w:rPr>
      </w:pPr>
      <w:r w:rsidRPr="00815494">
        <w:rPr>
          <w:bCs/>
        </w:rPr>
        <w:t>1. Nội dung chi:</w:t>
      </w:r>
    </w:p>
    <w:p w:rsidR="00525C80" w:rsidRPr="00815494" w:rsidRDefault="00525C80" w:rsidP="00815494">
      <w:pPr>
        <w:spacing w:before="120" w:after="120" w:line="360" w:lineRule="atLeast"/>
        <w:ind w:firstLine="720"/>
        <w:jc w:val="both"/>
        <w:rPr>
          <w:bCs/>
        </w:rPr>
      </w:pPr>
      <w:r w:rsidRPr="00815494">
        <w:rPr>
          <w:bCs/>
        </w:rPr>
        <w:t>a) Chi thực hiện nghĩa vụ với ngân sách nhà nước;</w:t>
      </w:r>
    </w:p>
    <w:p w:rsidR="00525C80" w:rsidRPr="00815494" w:rsidRDefault="00525C80" w:rsidP="00815494">
      <w:pPr>
        <w:spacing w:before="120" w:after="120" w:line="360" w:lineRule="atLeast"/>
        <w:ind w:firstLine="720"/>
        <w:jc w:val="both"/>
        <w:rPr>
          <w:bCs/>
        </w:rPr>
      </w:pPr>
      <w:r w:rsidRPr="00815494">
        <w:rPr>
          <w:bCs/>
        </w:rPr>
        <w:t>b) Chi tổ chức quản lý, giám sát việc đăng tải thông tin</w:t>
      </w:r>
      <w:r w:rsidR="008D283D" w:rsidRPr="00815494">
        <w:rPr>
          <w:bCs/>
        </w:rPr>
        <w:t>, việc đấu giá trực tuyến</w:t>
      </w:r>
      <w:r w:rsidRPr="00815494">
        <w:rPr>
          <w:bCs/>
        </w:rPr>
        <w:t xml:space="preserve"> trên Cổng Đấu giá tài sản quốc gia;</w:t>
      </w:r>
    </w:p>
    <w:p w:rsidR="00525C80" w:rsidRPr="00815494" w:rsidRDefault="00525C80" w:rsidP="00815494">
      <w:pPr>
        <w:spacing w:before="120" w:after="120" w:line="360" w:lineRule="atLeast"/>
        <w:ind w:firstLine="720"/>
        <w:jc w:val="both"/>
        <w:rPr>
          <w:bCs/>
        </w:rPr>
      </w:pPr>
      <w:r w:rsidRPr="00815494">
        <w:rPr>
          <w:bCs/>
        </w:rPr>
        <w:t>c) Chi tổ chức quản lý, giám sát, vận hành, phát triển Cổng Đấu giá tài sản quốc gia;</w:t>
      </w:r>
    </w:p>
    <w:p w:rsidR="00483E4A" w:rsidRPr="00815494" w:rsidRDefault="00483E4A" w:rsidP="00815494">
      <w:pPr>
        <w:spacing w:before="120" w:after="120" w:line="360" w:lineRule="atLeast"/>
        <w:ind w:firstLine="720"/>
        <w:jc w:val="both"/>
        <w:rPr>
          <w:bCs/>
        </w:rPr>
      </w:pPr>
      <w:r w:rsidRPr="00815494">
        <w:rPr>
          <w:bCs/>
        </w:rPr>
        <w:t>d) Chi hoạt động hướng dẫn, đào tạo người sử dụng Cổng Đấu giá tài sản quốc gia;</w:t>
      </w:r>
    </w:p>
    <w:p w:rsidR="00525C80" w:rsidRPr="00815494" w:rsidRDefault="00483E4A" w:rsidP="00815494">
      <w:pPr>
        <w:spacing w:before="120" w:after="120" w:line="360" w:lineRule="atLeast"/>
        <w:ind w:firstLine="720"/>
        <w:jc w:val="both"/>
        <w:rPr>
          <w:bCs/>
        </w:rPr>
      </w:pPr>
      <w:r w:rsidRPr="00815494">
        <w:rPr>
          <w:bCs/>
        </w:rPr>
        <w:t>đ</w:t>
      </w:r>
      <w:r w:rsidR="00525C80" w:rsidRPr="00815494">
        <w:rPr>
          <w:bCs/>
        </w:rPr>
        <w:t xml:space="preserve">) Chi hoạt động liên quan đến công việc tiếp nhận, xử lý thông tin đăng tải trên Cổng Đấu giá tài sản quốc gia, </w:t>
      </w:r>
      <w:r w:rsidR="008D283D" w:rsidRPr="00815494">
        <w:rPr>
          <w:bCs/>
        </w:rPr>
        <w:t xml:space="preserve">đấu giá trực tuyến, </w:t>
      </w:r>
      <w:r w:rsidR="00525C80" w:rsidRPr="00815494">
        <w:rPr>
          <w:bCs/>
        </w:rPr>
        <w:t>ứng dụng công nghệ thông tin trong công tác đấu giá tài sản, quản lý dữ liệu về đấu giá viên, tổ chức hành nghề đấu giá;</w:t>
      </w:r>
    </w:p>
    <w:p w:rsidR="00525C80" w:rsidRPr="00815494" w:rsidRDefault="00483E4A" w:rsidP="00815494">
      <w:pPr>
        <w:spacing w:before="120" w:after="120" w:line="360" w:lineRule="atLeast"/>
        <w:ind w:firstLine="720"/>
        <w:jc w:val="both"/>
        <w:rPr>
          <w:bCs/>
        </w:rPr>
      </w:pPr>
      <w:r w:rsidRPr="00815494">
        <w:rPr>
          <w:bCs/>
        </w:rPr>
        <w:t>e</w:t>
      </w:r>
      <w:r w:rsidR="00525C80" w:rsidRPr="00815494">
        <w:rPr>
          <w:bCs/>
        </w:rPr>
        <w:t>) Sử dụng cho các quỹ thực hiện theo quy định về tự chủ trong đơn vị sự nghiệp công lập;</w:t>
      </w:r>
    </w:p>
    <w:p w:rsidR="00525C80" w:rsidRPr="00815494" w:rsidRDefault="00483E4A" w:rsidP="00815494">
      <w:pPr>
        <w:spacing w:before="120" w:after="120" w:line="360" w:lineRule="atLeast"/>
        <w:ind w:firstLine="720"/>
        <w:jc w:val="both"/>
        <w:rPr>
          <w:bCs/>
        </w:rPr>
      </w:pPr>
      <w:r w:rsidRPr="00815494">
        <w:rPr>
          <w:bCs/>
        </w:rPr>
        <w:t>g</w:t>
      </w:r>
      <w:r w:rsidR="00525C80" w:rsidRPr="00815494">
        <w:rPr>
          <w:bCs/>
        </w:rPr>
        <w:t>) Các nhiệm vụ chi thường xuyên, c</w:t>
      </w:r>
      <w:r w:rsidRPr="00815494">
        <w:rPr>
          <w:bCs/>
        </w:rPr>
        <w:t>hi khác theo quy định pháp luật;</w:t>
      </w:r>
    </w:p>
    <w:p w:rsidR="00483E4A" w:rsidRPr="00815494" w:rsidRDefault="00483E4A" w:rsidP="00815494">
      <w:pPr>
        <w:spacing w:before="120" w:after="120" w:line="360" w:lineRule="atLeast"/>
        <w:ind w:firstLine="720"/>
        <w:jc w:val="both"/>
        <w:rPr>
          <w:bCs/>
        </w:rPr>
      </w:pPr>
      <w:r w:rsidRPr="00815494">
        <w:rPr>
          <w:bCs/>
        </w:rPr>
        <w:t>h) Các nhiệm vụ chi thường xuyên, chi đầu tư khác phục vụ triển khai áp dụng đấu giá trực tuyến.</w:t>
      </w:r>
    </w:p>
    <w:p w:rsidR="00525C80" w:rsidRPr="00815494" w:rsidRDefault="00525C80" w:rsidP="00815494">
      <w:pPr>
        <w:spacing w:before="120" w:after="120" w:line="360" w:lineRule="atLeast"/>
        <w:ind w:firstLine="720"/>
        <w:jc w:val="both"/>
        <w:rPr>
          <w:bCs/>
        </w:rPr>
      </w:pPr>
      <w:r w:rsidRPr="00815494">
        <w:rPr>
          <w:bCs/>
        </w:rPr>
        <w:t>2. Việc phân phối kết quả tài chính, trích lập các quỹ thực hiện theo cơ chế tự chủ tuân theo quy định pháp luật hiện hành.</w:t>
      </w:r>
    </w:p>
    <w:p w:rsidR="00525C80" w:rsidRPr="00815494" w:rsidRDefault="00525C80" w:rsidP="00815494">
      <w:pPr>
        <w:spacing w:before="120" w:after="120" w:line="360" w:lineRule="atLeast"/>
        <w:ind w:firstLine="720"/>
        <w:jc w:val="both"/>
        <w:rPr>
          <w:bCs/>
        </w:rPr>
      </w:pPr>
      <w:r w:rsidRPr="00815494">
        <w:rPr>
          <w:bCs/>
        </w:rPr>
        <w:lastRenderedPageBreak/>
        <w:t>3. Không sử dụng nguồn ngân sách nhà nước để thực hiện các nhiệm vụ quy định tại khoản 1 Điều này. Chênh lệch thu chi được hạch toán vào các quỹ theo quy định pháp luật hiện hành và chỉ phục vụ cho các nhiệm vụ quy định tại khoản 1 Điều này.</w:t>
      </w:r>
    </w:p>
    <w:p w:rsidR="00525C80" w:rsidRPr="00815494" w:rsidRDefault="00525C80" w:rsidP="00815494">
      <w:pPr>
        <w:spacing w:before="120" w:after="120" w:line="360" w:lineRule="atLeast"/>
        <w:ind w:firstLine="720"/>
        <w:jc w:val="both"/>
        <w:rPr>
          <w:bCs/>
        </w:rPr>
      </w:pPr>
      <w:r w:rsidRPr="00815494">
        <w:rPr>
          <w:bCs/>
        </w:rPr>
        <w:t>4. Tổ chức lập, phê duyệt, điều chỉnh kế hoạch, quyết toán thu, chi hàng năm:</w:t>
      </w:r>
    </w:p>
    <w:p w:rsidR="00525C80" w:rsidRPr="00815494" w:rsidRDefault="00525C80" w:rsidP="00815494">
      <w:pPr>
        <w:spacing w:before="120" w:after="120" w:line="360" w:lineRule="atLeast"/>
        <w:ind w:firstLine="720"/>
        <w:jc w:val="both"/>
        <w:rPr>
          <w:bCs/>
        </w:rPr>
      </w:pPr>
      <w:r w:rsidRPr="00815494">
        <w:rPr>
          <w:bCs/>
        </w:rPr>
        <w:t>a) Trung tâm thông tin đấu giá tài sản lập kế hoạch thu và kế hoạch chi liên quan đến đăng tải</w:t>
      </w:r>
      <w:r w:rsidR="00086F2B" w:rsidRPr="00815494">
        <w:rPr>
          <w:bCs/>
        </w:rPr>
        <w:t>,</w:t>
      </w:r>
      <w:r w:rsidRPr="00815494">
        <w:rPr>
          <w:bCs/>
        </w:rPr>
        <w:t xml:space="preserve"> chi phí</w:t>
      </w:r>
      <w:r w:rsidR="00086F2B" w:rsidRPr="00815494">
        <w:rPr>
          <w:bCs/>
        </w:rPr>
        <w:t xml:space="preserve"> sử dụng </w:t>
      </w:r>
      <w:r w:rsidRPr="00815494">
        <w:rPr>
          <w:bCs/>
        </w:rPr>
        <w:t>phần mềm đấu giá trực tuyến trên Cổng Đấu giá tài sản quốc gia theo Phụ lục I ban hành kèm theo Thông tư này vào dự toán của Cục Bổ trợ tư pháp để trình Bộ trưởng Bộ Tư pháp phê duyệt.</w:t>
      </w:r>
    </w:p>
    <w:p w:rsidR="00525C80" w:rsidRPr="00815494" w:rsidRDefault="00525C80" w:rsidP="00815494">
      <w:pPr>
        <w:spacing w:before="120" w:after="120" w:line="360" w:lineRule="atLeast"/>
        <w:ind w:firstLine="720"/>
        <w:jc w:val="both"/>
        <w:rPr>
          <w:bCs/>
        </w:rPr>
      </w:pPr>
      <w:r w:rsidRPr="00815494">
        <w:rPr>
          <w:bCs/>
        </w:rPr>
        <w:t xml:space="preserve">b) Trường hợp phát sinh nhiệm vụ, </w:t>
      </w:r>
      <w:r w:rsidR="00617996" w:rsidRPr="00815494">
        <w:rPr>
          <w:bCs/>
        </w:rPr>
        <w:t xml:space="preserve">người đứng đầu </w:t>
      </w:r>
      <w:r w:rsidR="00617996" w:rsidRPr="00815494">
        <w:rPr>
          <w:rFonts w:eastAsia="Calibri"/>
        </w:rPr>
        <w:t xml:space="preserve">Tổ chức được giao vận hành Cổng Đấu giá tài sản quốc gia </w:t>
      </w:r>
      <w:r w:rsidRPr="00815494">
        <w:rPr>
          <w:bCs/>
        </w:rPr>
        <w:t xml:space="preserve">báo cáo Cục trưởng Cục Bổ trợ tư pháp để điều chỉnh các khoản thu, chi tại Phụ lục I </w:t>
      </w:r>
      <w:r w:rsidR="008D283D" w:rsidRPr="00815494">
        <w:rPr>
          <w:bCs/>
        </w:rPr>
        <w:t xml:space="preserve">ban hành kèm theo Thông tư này </w:t>
      </w:r>
      <w:r w:rsidRPr="00815494">
        <w:rPr>
          <w:bCs/>
        </w:rPr>
        <w:t>và chịu trách nhiệm về việc điều chỉnh trong phạm v</w:t>
      </w:r>
      <w:r w:rsidR="008D283D" w:rsidRPr="00815494">
        <w:rPr>
          <w:bCs/>
        </w:rPr>
        <w:t>i</w:t>
      </w:r>
      <w:r w:rsidRPr="00815494">
        <w:rPr>
          <w:bCs/>
        </w:rPr>
        <w:t xml:space="preserve"> kế hoạch năm được phê duyệt. Việc điều chỉnh chỉ được thực hiện trong năm kế hoạch.</w:t>
      </w:r>
    </w:p>
    <w:p w:rsidR="00525C80" w:rsidRPr="00815494" w:rsidRDefault="00525C80" w:rsidP="00815494">
      <w:pPr>
        <w:spacing w:before="120" w:after="120" w:line="360" w:lineRule="atLeast"/>
        <w:ind w:firstLine="720"/>
        <w:jc w:val="both"/>
        <w:rPr>
          <w:bCs/>
        </w:rPr>
      </w:pPr>
      <w:r w:rsidRPr="00815494">
        <w:rPr>
          <w:bCs/>
        </w:rPr>
        <w:t xml:space="preserve">c) </w:t>
      </w:r>
      <w:r w:rsidR="00617996" w:rsidRPr="00815494">
        <w:rPr>
          <w:rFonts w:eastAsia="Calibri"/>
        </w:rPr>
        <w:t>Tổ chức được giao vận hành Cổng Đấu giá tài sản quốc gia</w:t>
      </w:r>
      <w:r w:rsidRPr="00815494">
        <w:rPr>
          <w:bCs/>
        </w:rPr>
        <w:t xml:space="preserve"> có trách nhiệm lập quyết toán thu, chi theo các nội dung tại Phụ lục II ban hành kèm theo Thông tư này và quyết toán vào kinh phí hoạt động của Cục Bổ trợ tư pháp.</w:t>
      </w:r>
    </w:p>
    <w:p w:rsidR="00525C80" w:rsidRPr="00815494" w:rsidRDefault="00C32655" w:rsidP="00815494">
      <w:pPr>
        <w:spacing w:before="120" w:after="120" w:line="360" w:lineRule="atLeast"/>
        <w:ind w:firstLine="720"/>
        <w:jc w:val="both"/>
        <w:rPr>
          <w:b/>
          <w:bCs/>
        </w:rPr>
      </w:pPr>
      <w:r w:rsidRPr="00815494">
        <w:rPr>
          <w:b/>
          <w:bCs/>
        </w:rPr>
        <w:t>Mục 3. Trách nhiệm của các bên</w:t>
      </w:r>
    </w:p>
    <w:p w:rsidR="00525C80" w:rsidRPr="00815494" w:rsidRDefault="00525C80" w:rsidP="00815494">
      <w:pPr>
        <w:spacing w:before="120" w:after="120" w:line="360" w:lineRule="atLeast"/>
        <w:ind w:firstLine="720"/>
        <w:jc w:val="both"/>
        <w:rPr>
          <w:b/>
          <w:bCs/>
        </w:rPr>
      </w:pPr>
      <w:r w:rsidRPr="00815494">
        <w:rPr>
          <w:b/>
          <w:bCs/>
        </w:rPr>
        <w:t xml:space="preserve">Điều </w:t>
      </w:r>
      <w:r w:rsidR="004F0259">
        <w:rPr>
          <w:b/>
          <w:bCs/>
        </w:rPr>
        <w:t>9</w:t>
      </w:r>
      <w:r w:rsidRPr="00815494">
        <w:rPr>
          <w:b/>
          <w:bCs/>
        </w:rPr>
        <w:t xml:space="preserve">. Trách nhiệm của Cục Bổ trợ tư pháp, </w:t>
      </w:r>
      <w:r w:rsidR="007D0ABC" w:rsidRPr="00815494">
        <w:rPr>
          <w:rFonts w:eastAsia="Calibri"/>
          <w:b/>
        </w:rPr>
        <w:t>Tổ chức được giao vận hành Cổng Đấu giá tài sản quốc gia</w:t>
      </w:r>
      <w:r w:rsidRPr="00815494">
        <w:rPr>
          <w:b/>
          <w:bCs/>
        </w:rPr>
        <w:t xml:space="preserve"> và tổ chức, cá nhân có liên quan</w:t>
      </w:r>
    </w:p>
    <w:p w:rsidR="00525C80" w:rsidRPr="00815494" w:rsidRDefault="00525C80" w:rsidP="00815494">
      <w:pPr>
        <w:spacing w:before="120" w:after="120" w:line="360" w:lineRule="atLeast"/>
        <w:ind w:firstLine="720"/>
        <w:jc w:val="both"/>
        <w:rPr>
          <w:bCs/>
        </w:rPr>
      </w:pPr>
      <w:r w:rsidRPr="00815494">
        <w:rPr>
          <w:bCs/>
        </w:rPr>
        <w:t>1. Cục Bổ trợ tư pháp có trách nhiệm:</w:t>
      </w:r>
    </w:p>
    <w:p w:rsidR="00525C80" w:rsidRPr="00815494" w:rsidRDefault="00525C80" w:rsidP="00815494">
      <w:pPr>
        <w:spacing w:before="120" w:after="120" w:line="360" w:lineRule="atLeast"/>
        <w:ind w:firstLine="720"/>
        <w:jc w:val="both"/>
        <w:rPr>
          <w:bCs/>
        </w:rPr>
      </w:pPr>
      <w:r w:rsidRPr="00815494">
        <w:rPr>
          <w:bCs/>
        </w:rPr>
        <w:t xml:space="preserve">a) Theo dõi, giám sát và quản lý việc thực hiện chức năng, nhiệm vụ, của </w:t>
      </w:r>
      <w:r w:rsidR="00271E76" w:rsidRPr="00815494">
        <w:rPr>
          <w:rFonts w:eastAsia="Calibri"/>
        </w:rPr>
        <w:t>Tổ chức được giao vận hành Cổng Đấu giá tài sản quốc gia</w:t>
      </w:r>
      <w:r w:rsidRPr="00815494">
        <w:rPr>
          <w:bCs/>
        </w:rPr>
        <w:t>.</w:t>
      </w:r>
    </w:p>
    <w:p w:rsidR="00525C80" w:rsidRPr="00815494" w:rsidRDefault="00525C80" w:rsidP="00815494">
      <w:pPr>
        <w:spacing w:before="120" w:after="120" w:line="360" w:lineRule="atLeast"/>
        <w:ind w:firstLine="720"/>
        <w:jc w:val="both"/>
        <w:rPr>
          <w:bCs/>
        </w:rPr>
      </w:pPr>
      <w:r w:rsidRPr="00815494">
        <w:rPr>
          <w:bCs/>
        </w:rPr>
        <w:t xml:space="preserve">b) Tổng hợp kế hoạch thu, kế hoạch chi hàng năm của Trung tâm thông tin đấu giá tài sản trình Bộ trưởng Bộ Tư pháp phê duyệt </w:t>
      </w:r>
      <w:r w:rsidR="00EB5CEE" w:rsidRPr="00815494">
        <w:rPr>
          <w:bCs/>
        </w:rPr>
        <w:t>theo quy định tại điểm a khoản 4 Điều 9 của Thông tư này</w:t>
      </w:r>
      <w:r w:rsidRPr="00815494">
        <w:rPr>
          <w:bCs/>
        </w:rPr>
        <w:t>.</w:t>
      </w:r>
    </w:p>
    <w:p w:rsidR="00525C80" w:rsidRPr="00815494" w:rsidRDefault="00525C80" w:rsidP="00815494">
      <w:pPr>
        <w:spacing w:before="120" w:after="120" w:line="360" w:lineRule="atLeast"/>
        <w:ind w:firstLine="720"/>
        <w:jc w:val="both"/>
        <w:rPr>
          <w:bCs/>
        </w:rPr>
      </w:pPr>
      <w:r w:rsidRPr="00815494">
        <w:rPr>
          <w:bCs/>
        </w:rPr>
        <w:t xml:space="preserve">c) Điều chỉnh kế hoạch thu, kế hoạch chi của </w:t>
      </w:r>
      <w:r w:rsidR="00271E76" w:rsidRPr="00815494">
        <w:rPr>
          <w:rFonts w:eastAsia="Calibri"/>
        </w:rPr>
        <w:t>Tổ chức được giao vận hành Cổng Đấu giá tài sản quốc gia</w:t>
      </w:r>
      <w:r w:rsidRPr="00815494">
        <w:rPr>
          <w:bCs/>
        </w:rPr>
        <w:t xml:space="preserve"> theo quy định tại điểm b khoản 4 Điều </w:t>
      </w:r>
      <w:r w:rsidR="00EB5CEE" w:rsidRPr="00815494">
        <w:rPr>
          <w:bCs/>
        </w:rPr>
        <w:t>9</w:t>
      </w:r>
      <w:r w:rsidRPr="00815494">
        <w:rPr>
          <w:bCs/>
        </w:rPr>
        <w:t xml:space="preserve"> của Thông tư này.</w:t>
      </w:r>
    </w:p>
    <w:p w:rsidR="00525C80" w:rsidRPr="00815494" w:rsidRDefault="00525C80" w:rsidP="00815494">
      <w:pPr>
        <w:spacing w:before="120" w:after="120" w:line="360" w:lineRule="atLeast"/>
        <w:ind w:firstLine="720"/>
        <w:jc w:val="both"/>
        <w:rPr>
          <w:bCs/>
        </w:rPr>
      </w:pPr>
      <w:r w:rsidRPr="00815494">
        <w:rPr>
          <w:bCs/>
        </w:rPr>
        <w:t xml:space="preserve">d) Quyết toán thu, chi của </w:t>
      </w:r>
      <w:r w:rsidR="00271E76" w:rsidRPr="00815494">
        <w:rPr>
          <w:rFonts w:eastAsia="Calibri"/>
        </w:rPr>
        <w:t>Tổ chức được giao vận hành Cổng Đấu giá tài sản quốc gia</w:t>
      </w:r>
      <w:r w:rsidRPr="00815494">
        <w:rPr>
          <w:bCs/>
        </w:rPr>
        <w:t xml:space="preserve"> theo quy định tại điểm c khoản 4 Điều </w:t>
      </w:r>
      <w:r w:rsidR="00EB5CEE" w:rsidRPr="00815494">
        <w:rPr>
          <w:bCs/>
        </w:rPr>
        <w:t>9</w:t>
      </w:r>
      <w:r w:rsidRPr="00815494">
        <w:rPr>
          <w:bCs/>
        </w:rPr>
        <w:t xml:space="preserve"> của Thông tư này.</w:t>
      </w:r>
    </w:p>
    <w:p w:rsidR="00525C80" w:rsidRPr="00815494" w:rsidRDefault="00525C80" w:rsidP="00815494">
      <w:pPr>
        <w:spacing w:before="120" w:after="120" w:line="360" w:lineRule="atLeast"/>
        <w:ind w:firstLine="720"/>
        <w:jc w:val="both"/>
        <w:rPr>
          <w:bCs/>
        </w:rPr>
      </w:pPr>
      <w:r w:rsidRPr="00815494">
        <w:rPr>
          <w:bCs/>
        </w:rPr>
        <w:t xml:space="preserve">2. </w:t>
      </w:r>
      <w:r w:rsidR="00271E76" w:rsidRPr="00815494">
        <w:rPr>
          <w:rFonts w:eastAsia="Calibri"/>
        </w:rPr>
        <w:t>Tổ chức được giao vận hành Cổng Đấu giá tài sản quốc gia</w:t>
      </w:r>
      <w:r w:rsidRPr="00815494">
        <w:rPr>
          <w:bCs/>
        </w:rPr>
        <w:t xml:space="preserve"> có trách nhiệm:</w:t>
      </w:r>
    </w:p>
    <w:p w:rsidR="00525C80" w:rsidRPr="00815494" w:rsidRDefault="00525C80" w:rsidP="00815494">
      <w:pPr>
        <w:spacing w:before="120" w:after="120" w:line="360" w:lineRule="atLeast"/>
        <w:ind w:firstLine="720"/>
        <w:jc w:val="both"/>
        <w:rPr>
          <w:bCs/>
        </w:rPr>
      </w:pPr>
      <w:r w:rsidRPr="00815494">
        <w:rPr>
          <w:bCs/>
        </w:rPr>
        <w:lastRenderedPageBreak/>
        <w:t>a) Thông báo công khai trên Cổng Đấu giá tài sản quốc gia quy trình thu chi phí đăng tải</w:t>
      </w:r>
      <w:r w:rsidR="00086F2B" w:rsidRPr="00815494">
        <w:rPr>
          <w:bCs/>
        </w:rPr>
        <w:t xml:space="preserve">, </w:t>
      </w:r>
      <w:r w:rsidRPr="00815494">
        <w:rPr>
          <w:bCs/>
        </w:rPr>
        <w:t xml:space="preserve">chi phí </w:t>
      </w:r>
      <w:r w:rsidR="00086F2B" w:rsidRPr="00815494">
        <w:rPr>
          <w:bCs/>
        </w:rPr>
        <w:t>sử dụng</w:t>
      </w:r>
      <w:r w:rsidRPr="00815494">
        <w:rPr>
          <w:bCs/>
        </w:rPr>
        <w:t xml:space="preserve"> phần mềm đấu giá trực tuyến trên Cổng Đấu giá tài sản quốc gia, bao gồm cách thức, phương thức, đối tượng và mức thu.</w:t>
      </w:r>
    </w:p>
    <w:p w:rsidR="00525C80" w:rsidRPr="00815494" w:rsidRDefault="00525C80" w:rsidP="00815494">
      <w:pPr>
        <w:spacing w:before="120" w:after="120" w:line="360" w:lineRule="atLeast"/>
        <w:ind w:firstLine="720"/>
        <w:jc w:val="both"/>
        <w:rPr>
          <w:bCs/>
        </w:rPr>
      </w:pPr>
      <w:r w:rsidRPr="00815494">
        <w:rPr>
          <w:bCs/>
        </w:rPr>
        <w:t>b) Tổ chức thu chi phí đăng tải</w:t>
      </w:r>
      <w:r w:rsidR="00086F2B" w:rsidRPr="00815494">
        <w:rPr>
          <w:bCs/>
        </w:rPr>
        <w:t xml:space="preserve">, </w:t>
      </w:r>
      <w:r w:rsidRPr="00815494">
        <w:rPr>
          <w:bCs/>
        </w:rPr>
        <w:t>chi phí</w:t>
      </w:r>
      <w:r w:rsidR="00086F2B" w:rsidRPr="00815494">
        <w:rPr>
          <w:bCs/>
        </w:rPr>
        <w:t xml:space="preserve"> sử dụng</w:t>
      </w:r>
      <w:r w:rsidRPr="00815494">
        <w:rPr>
          <w:bCs/>
        </w:rPr>
        <w:t xml:space="preserve"> phần mềm đấu giá trực tuyến trên Cổng Đấu giá tài sản quốc gia.</w:t>
      </w:r>
    </w:p>
    <w:p w:rsidR="00525C80" w:rsidRPr="00815494" w:rsidRDefault="00525C80" w:rsidP="00815494">
      <w:pPr>
        <w:spacing w:before="120" w:after="120" w:line="360" w:lineRule="atLeast"/>
        <w:ind w:firstLine="720"/>
        <w:jc w:val="both"/>
        <w:rPr>
          <w:bCs/>
        </w:rPr>
      </w:pPr>
      <w:r w:rsidRPr="00815494">
        <w:rPr>
          <w:bCs/>
        </w:rPr>
        <w:t xml:space="preserve">c) Quản lý, sử dụng khoản thu theo quy định tại Điều </w:t>
      </w:r>
      <w:r w:rsidR="00EB5CEE" w:rsidRPr="00815494">
        <w:rPr>
          <w:bCs/>
        </w:rPr>
        <w:t>8</w:t>
      </w:r>
      <w:r w:rsidRPr="00815494">
        <w:rPr>
          <w:bCs/>
        </w:rPr>
        <w:t xml:space="preserve"> của Thông tư này.</w:t>
      </w:r>
    </w:p>
    <w:p w:rsidR="00525C80" w:rsidRPr="00815494" w:rsidRDefault="00525C80" w:rsidP="00815494">
      <w:pPr>
        <w:spacing w:before="120" w:after="120" w:line="360" w:lineRule="atLeast"/>
        <w:ind w:firstLine="720"/>
        <w:jc w:val="both"/>
        <w:rPr>
          <w:bCs/>
        </w:rPr>
      </w:pPr>
      <w:r w:rsidRPr="00815494">
        <w:rPr>
          <w:bCs/>
        </w:rPr>
        <w:t>3. Tổ chức, cá nhân</w:t>
      </w:r>
      <w:r w:rsidRPr="00815494">
        <w:t xml:space="preserve"> </w:t>
      </w:r>
      <w:r w:rsidRPr="00815494">
        <w:rPr>
          <w:bCs/>
        </w:rPr>
        <w:t xml:space="preserve">đăng tải, </w:t>
      </w:r>
      <w:r w:rsidR="00271E76" w:rsidRPr="00815494">
        <w:rPr>
          <w:bCs/>
        </w:rPr>
        <w:t>sử dụng</w:t>
      </w:r>
      <w:r w:rsidRPr="00815494">
        <w:rPr>
          <w:bCs/>
        </w:rPr>
        <w:t xml:space="preserve"> phần mềm đấu giá trực tuyến trên Cổng Đấu giá tài sản quốc gia có trách nhiệm:</w:t>
      </w:r>
    </w:p>
    <w:p w:rsidR="00525C80" w:rsidRPr="00815494" w:rsidRDefault="00525C80" w:rsidP="00815494">
      <w:pPr>
        <w:spacing w:before="120" w:after="120" w:line="360" w:lineRule="atLeast"/>
        <w:ind w:firstLine="720"/>
        <w:jc w:val="both"/>
        <w:rPr>
          <w:bCs/>
        </w:rPr>
      </w:pPr>
      <w:r w:rsidRPr="00815494">
        <w:rPr>
          <w:bCs/>
        </w:rPr>
        <w:t xml:space="preserve">a) Nộp chi phí theo quy định tại khoản 2 Điều </w:t>
      </w:r>
      <w:r w:rsidR="00EB5CEE" w:rsidRPr="00815494">
        <w:rPr>
          <w:bCs/>
        </w:rPr>
        <w:t>8</w:t>
      </w:r>
      <w:r w:rsidRPr="00815494">
        <w:rPr>
          <w:bCs/>
        </w:rPr>
        <w:t xml:space="preserve"> Thông tư này. Hết thời hạn thanh toán chi phí theo quy định mà cá nhân, tổ chức không thanh toán chi phí thì tài khoản của cá nhân, tổ chức đó bị chuyển sang trạng thái tạm ngừng hoạt động và không thực hiện được các giao dịch liên quan trên Cổng Đấu giá tài sản quốc gia cho đến khi hoàn thành trách nhiệm thanh toán chi phí theo quy định.</w:t>
      </w:r>
    </w:p>
    <w:p w:rsidR="00EB5CEE" w:rsidRPr="00815494" w:rsidRDefault="00EB5CEE" w:rsidP="00815494">
      <w:pPr>
        <w:spacing w:before="120" w:after="120" w:line="360" w:lineRule="atLeast"/>
        <w:ind w:firstLine="720"/>
        <w:jc w:val="both"/>
        <w:rPr>
          <w:bCs/>
        </w:rPr>
      </w:pPr>
      <w:r w:rsidRPr="00815494">
        <w:rPr>
          <w:bCs/>
        </w:rPr>
        <w:t>b) Thực hiện đúng quy chế hoạt động của Cổng Đấu giá tài sản quốc gia và quy định của pháp luật liên quan.</w:t>
      </w:r>
    </w:p>
    <w:p w:rsidR="000938B5" w:rsidRPr="00815494" w:rsidRDefault="000938B5" w:rsidP="00815494">
      <w:pPr>
        <w:spacing w:before="120" w:after="120" w:line="360" w:lineRule="atLeast"/>
        <w:ind w:firstLine="454"/>
        <w:jc w:val="center"/>
        <w:rPr>
          <w:b/>
          <w:bCs/>
        </w:rPr>
      </w:pPr>
      <w:r w:rsidRPr="00815494">
        <w:rPr>
          <w:b/>
          <w:bCs/>
        </w:rPr>
        <w:t>Chương IV</w:t>
      </w:r>
    </w:p>
    <w:p w:rsidR="000938B5" w:rsidRPr="00815494" w:rsidRDefault="000938B5" w:rsidP="00815494">
      <w:pPr>
        <w:spacing w:before="120" w:after="120" w:line="360" w:lineRule="atLeast"/>
        <w:ind w:firstLine="454"/>
        <w:jc w:val="center"/>
        <w:rPr>
          <w:b/>
          <w:bCs/>
          <w:lang w:val="nl-NL"/>
        </w:rPr>
      </w:pPr>
      <w:r w:rsidRPr="00815494">
        <w:rPr>
          <w:b/>
          <w:bCs/>
        </w:rPr>
        <w:t>ĐIỀU KHOẢN THI HÀNH</w:t>
      </w:r>
    </w:p>
    <w:p w:rsidR="00271E76" w:rsidRPr="00815494" w:rsidRDefault="00307CFC" w:rsidP="00815494">
      <w:pPr>
        <w:spacing w:before="120" w:after="120" w:line="360" w:lineRule="atLeast"/>
        <w:ind w:firstLine="454"/>
        <w:jc w:val="both"/>
        <w:rPr>
          <w:b/>
          <w:bCs/>
          <w:lang w:val="nl-NL"/>
        </w:rPr>
      </w:pPr>
      <w:r w:rsidRPr="00815494">
        <w:rPr>
          <w:b/>
          <w:bCs/>
          <w:lang w:val="nl-NL"/>
        </w:rPr>
        <w:t xml:space="preserve">Điều </w:t>
      </w:r>
      <w:r w:rsidR="00525C80" w:rsidRPr="00815494">
        <w:rPr>
          <w:b/>
          <w:bCs/>
          <w:lang w:val="nl-NL"/>
        </w:rPr>
        <w:t>1</w:t>
      </w:r>
      <w:r w:rsidR="004F0259">
        <w:rPr>
          <w:b/>
          <w:bCs/>
          <w:lang w:val="nl-NL"/>
        </w:rPr>
        <w:t>0</w:t>
      </w:r>
      <w:r w:rsidRPr="00815494">
        <w:rPr>
          <w:b/>
          <w:bCs/>
          <w:lang w:val="nl-NL"/>
        </w:rPr>
        <w:t xml:space="preserve">. </w:t>
      </w:r>
      <w:r w:rsidR="00271E76" w:rsidRPr="00815494">
        <w:rPr>
          <w:b/>
          <w:bCs/>
          <w:lang w:val="nl-NL"/>
        </w:rPr>
        <w:t>Điều khoản chuyển tiếp</w:t>
      </w:r>
    </w:p>
    <w:p w:rsidR="004C7B70" w:rsidRPr="00815494" w:rsidRDefault="00271E76" w:rsidP="00815494">
      <w:pPr>
        <w:spacing w:before="120" w:after="120" w:line="360" w:lineRule="atLeast"/>
        <w:ind w:firstLine="454"/>
        <w:jc w:val="both"/>
        <w:rPr>
          <w:color w:val="000000"/>
          <w:shd w:val="clear" w:color="auto" w:fill="FFFFFF"/>
        </w:rPr>
      </w:pPr>
      <w:r w:rsidRPr="00815494">
        <w:rPr>
          <w:color w:val="000000"/>
          <w:shd w:val="clear" w:color="auto" w:fill="FFFFFF"/>
        </w:rPr>
        <w:t>Trong thời gian Tổ chức được giao vận hành Cổng Đấu giá tài sản quốc gia chưa được thành lập, người có tài sản đấu giá, tổ chức đấu giá tài sản</w:t>
      </w:r>
      <w:r w:rsidR="004C7B70" w:rsidRPr="00815494">
        <w:rPr>
          <w:color w:val="000000"/>
          <w:shd w:val="clear" w:color="auto" w:fill="FFFFFF"/>
        </w:rPr>
        <w:t xml:space="preserve"> </w:t>
      </w:r>
      <w:r w:rsidRPr="00815494">
        <w:rPr>
          <w:color w:val="000000"/>
          <w:shd w:val="clear" w:color="auto" w:fill="FFFFFF"/>
        </w:rPr>
        <w:t xml:space="preserve">chưa phải nộp chi phí đăng tải </w:t>
      </w:r>
      <w:r w:rsidR="004C7B70" w:rsidRPr="00815494">
        <w:rPr>
          <w:color w:val="000000"/>
          <w:shd w:val="clear" w:color="auto" w:fill="FFFFFF"/>
        </w:rPr>
        <w:t>thông báo lựa chọn tổ chức đấu giá tài sản, chi phí thông báo công khai việc đấu giá tài sản trên Cổng Đấu giá tài sản quốc gia, chi phí sử dụng Cổng Đấu giá tài sản quốc gia và các chi phí khác liên quan theo quy định của pháp luật.</w:t>
      </w:r>
    </w:p>
    <w:p w:rsidR="00307CFC" w:rsidRPr="00815494" w:rsidRDefault="004F0259" w:rsidP="00815494">
      <w:pPr>
        <w:spacing w:before="120" w:after="120" w:line="360" w:lineRule="atLeast"/>
        <w:ind w:firstLine="454"/>
        <w:jc w:val="both"/>
        <w:rPr>
          <w:lang w:val="nl-NL"/>
        </w:rPr>
      </w:pPr>
      <w:r>
        <w:rPr>
          <w:b/>
          <w:bCs/>
          <w:lang w:val="nl-NL"/>
        </w:rPr>
        <w:t>Điều 11</w:t>
      </w:r>
      <w:r w:rsidR="00271E76" w:rsidRPr="00815494">
        <w:rPr>
          <w:b/>
          <w:bCs/>
          <w:lang w:val="nl-NL"/>
        </w:rPr>
        <w:t xml:space="preserve">. </w:t>
      </w:r>
      <w:r w:rsidR="00307CFC" w:rsidRPr="00815494">
        <w:rPr>
          <w:b/>
          <w:bCs/>
          <w:lang w:val="nl-NL"/>
        </w:rPr>
        <w:t>Tổ chức thực hiện</w:t>
      </w:r>
    </w:p>
    <w:p w:rsidR="00307CFC" w:rsidRPr="00815494" w:rsidRDefault="00307CFC" w:rsidP="00815494">
      <w:pPr>
        <w:spacing w:before="120" w:after="120" w:line="360" w:lineRule="atLeast"/>
        <w:ind w:firstLine="454"/>
        <w:jc w:val="both"/>
        <w:rPr>
          <w:lang w:val="nl-NL"/>
        </w:rPr>
      </w:pPr>
      <w:r w:rsidRPr="00815494">
        <w:rPr>
          <w:lang w:val="nl-NL"/>
        </w:rPr>
        <w:t>1. Thông tư này có hiệu lực thi hành kể từ ngày 01 tháng 0</w:t>
      </w:r>
      <w:r w:rsidR="000938B5" w:rsidRPr="00815494">
        <w:rPr>
          <w:lang w:val="nl-NL"/>
        </w:rPr>
        <w:t>1</w:t>
      </w:r>
      <w:r w:rsidRPr="00815494">
        <w:rPr>
          <w:lang w:val="nl-NL"/>
        </w:rPr>
        <w:t xml:space="preserve"> năm 20</w:t>
      </w:r>
      <w:r w:rsidR="00A15E7E" w:rsidRPr="00815494">
        <w:rPr>
          <w:lang w:val="nl-NL"/>
        </w:rPr>
        <w:t>2</w:t>
      </w:r>
      <w:r w:rsidR="004C7B70" w:rsidRPr="00815494">
        <w:rPr>
          <w:lang w:val="nl-NL"/>
        </w:rPr>
        <w:t>5.</w:t>
      </w:r>
    </w:p>
    <w:p w:rsidR="00A63726" w:rsidRPr="00815494" w:rsidRDefault="00A63726" w:rsidP="00815494">
      <w:pPr>
        <w:spacing w:before="120" w:after="120" w:line="360" w:lineRule="atLeast"/>
        <w:ind w:firstLine="454"/>
        <w:jc w:val="both"/>
        <w:rPr>
          <w:lang w:val="nl-NL"/>
        </w:rPr>
      </w:pPr>
      <w:r w:rsidRPr="00815494">
        <w:rPr>
          <w:lang w:val="nl-NL"/>
        </w:rPr>
        <w:t>2. Đối với các hợp đồng dịch vụ đấu giá tài sản đã được ký kết trước ngày Thông tư này có hiệu lực thì tiếp tục thực hiện theo quy định tại Thông tư số </w:t>
      </w:r>
      <w:bookmarkStart w:id="4" w:name="tvpllink_swbognmshi_1"/>
      <w:r w:rsidRPr="00815494">
        <w:rPr>
          <w:lang w:val="nl-NL"/>
        </w:rPr>
        <w:fldChar w:fldCharType="begin"/>
      </w:r>
      <w:r w:rsidRPr="00815494">
        <w:rPr>
          <w:lang w:val="nl-NL"/>
        </w:rPr>
        <w:instrText xml:space="preserve"> HYPERLINK "https://thuvienphapluat.vn/van-ban/dau-tu/thong-tu-45-2017-tt-btc-khung-thu-lao-dich-vu-dau-gia-tai-san-theo-quy-dinh-luat-dau-gia-tai-san-341649.aspx" \t "_blank" </w:instrText>
      </w:r>
      <w:r w:rsidRPr="00815494">
        <w:rPr>
          <w:lang w:val="nl-NL"/>
        </w:rPr>
        <w:fldChar w:fldCharType="separate"/>
      </w:r>
      <w:r w:rsidRPr="00815494">
        <w:rPr>
          <w:lang w:val="nl-NL"/>
        </w:rPr>
        <w:t>45/2017/TT-BTC</w:t>
      </w:r>
      <w:r w:rsidRPr="00815494">
        <w:rPr>
          <w:lang w:val="nl-NL"/>
        </w:rPr>
        <w:fldChar w:fldCharType="end"/>
      </w:r>
      <w:bookmarkEnd w:id="4"/>
      <w:r w:rsidRPr="00815494">
        <w:rPr>
          <w:lang w:val="nl-NL"/>
        </w:rPr>
        <w:t xml:space="preserve"> ngày 12 tháng 5 năm 2017 của Bộ trưởng Bộ Tài chính quy định khung </w:t>
      </w:r>
      <w:r w:rsidR="00974DBF" w:rsidRPr="00815494">
        <w:rPr>
          <w:bCs/>
          <w:lang w:val="nl-NL"/>
        </w:rPr>
        <w:t>giá</w:t>
      </w:r>
      <w:r w:rsidRPr="00815494">
        <w:rPr>
          <w:lang w:val="nl-NL"/>
        </w:rPr>
        <w:t xml:space="preserve"> dịch vụ đấu giá tài sản theo quy định tại Luật </w:t>
      </w:r>
      <w:r w:rsidR="00DB1640" w:rsidRPr="00815494">
        <w:rPr>
          <w:lang w:val="nl-NL"/>
        </w:rPr>
        <w:t>Đ</w:t>
      </w:r>
      <w:r w:rsidRPr="00815494">
        <w:rPr>
          <w:lang w:val="nl-NL"/>
        </w:rPr>
        <w:t>ấu giá tài sản và Thông tư số 108/2020/TT-BTC ngày 21 tháng 12 năm 2020 của Bộ trưởng Bộ Tài chính sửa đổi, bổ sung một số điều của Thông tư số </w:t>
      </w:r>
      <w:hyperlink r:id="rId8" w:tgtFrame="_blank" w:tooltip="Thông tư 45/2017/TT-BTC" w:history="1">
        <w:r w:rsidRPr="00815494">
          <w:rPr>
            <w:lang w:val="nl-NL"/>
          </w:rPr>
          <w:t>45/2017/TT-BTC</w:t>
        </w:r>
      </w:hyperlink>
      <w:r w:rsidRPr="00815494">
        <w:rPr>
          <w:lang w:val="nl-NL"/>
        </w:rPr>
        <w:t xml:space="preserve"> ngày 12 tháng 5 năm 2017 </w:t>
      </w:r>
      <w:r w:rsidRPr="00815494">
        <w:rPr>
          <w:lang w:val="nl-NL"/>
        </w:rPr>
        <w:lastRenderedPageBreak/>
        <w:t xml:space="preserve">của Bộ trưởng Bộ Tài chính quy định khung </w:t>
      </w:r>
      <w:r w:rsidR="00974DBF" w:rsidRPr="00815494">
        <w:rPr>
          <w:bCs/>
          <w:lang w:val="nl-NL"/>
        </w:rPr>
        <w:t>giá</w:t>
      </w:r>
      <w:r w:rsidRPr="00815494">
        <w:rPr>
          <w:lang w:val="nl-NL"/>
        </w:rPr>
        <w:t xml:space="preserve"> dịch vụ đấu giá tài sản theo quy định tại Luật Đấu giá tài sản cho đến khi kết thúc hợp đồng.</w:t>
      </w:r>
    </w:p>
    <w:p w:rsidR="00307CFC" w:rsidRDefault="00A63726" w:rsidP="00815494">
      <w:pPr>
        <w:spacing w:before="120" w:after="120" w:line="360" w:lineRule="atLeast"/>
        <w:ind w:firstLine="454"/>
        <w:jc w:val="both"/>
        <w:rPr>
          <w:lang w:val="nl-NL"/>
        </w:rPr>
      </w:pPr>
      <w:r w:rsidRPr="00815494">
        <w:rPr>
          <w:lang w:val="nl-NL"/>
        </w:rPr>
        <w:t>3</w:t>
      </w:r>
      <w:r w:rsidR="00307CFC" w:rsidRPr="00815494">
        <w:rPr>
          <w:lang w:val="nl-NL"/>
        </w:rPr>
        <w:t>. Trong quá trình triển khai thực hiện, nếu có vướng mắc, đề nghị các tổ chức,</w:t>
      </w:r>
      <w:r w:rsidR="00307CFC" w:rsidRPr="00E643B5">
        <w:rPr>
          <w:lang w:val="nl-NL"/>
        </w:rPr>
        <w:t xml:space="preserve"> </w:t>
      </w:r>
      <w:r>
        <w:rPr>
          <w:lang w:val="nl-NL"/>
        </w:rPr>
        <w:t>cá nhân phản ánh kịp thời về Bộ Tư pháp</w:t>
      </w:r>
      <w:r w:rsidR="00307CFC" w:rsidRPr="00E643B5">
        <w:rPr>
          <w:lang w:val="nl-NL"/>
        </w:rPr>
        <w:t xml:space="preserve"> để xem xét, hướng dẫn./.</w:t>
      </w:r>
    </w:p>
    <w:p w:rsidR="00307CFC" w:rsidRPr="00E643B5" w:rsidRDefault="00307CFC" w:rsidP="00307CFC">
      <w:pPr>
        <w:ind w:firstLine="454"/>
        <w:jc w:val="both"/>
        <w:rPr>
          <w:lang w:val="nl-NL"/>
        </w:rPr>
      </w:pPr>
    </w:p>
    <w:tbl>
      <w:tblPr>
        <w:tblW w:w="10157" w:type="dxa"/>
        <w:tblInd w:w="108" w:type="dxa"/>
        <w:tblCellMar>
          <w:left w:w="0" w:type="dxa"/>
          <w:right w:w="0" w:type="dxa"/>
        </w:tblCellMar>
        <w:tblLook w:val="0000" w:firstRow="0" w:lastRow="0" w:firstColumn="0" w:lastColumn="0" w:noHBand="0" w:noVBand="0"/>
      </w:tblPr>
      <w:tblGrid>
        <w:gridCol w:w="5846"/>
        <w:gridCol w:w="4311"/>
      </w:tblGrid>
      <w:tr w:rsidR="00307CFC" w:rsidRPr="00D44C85" w:rsidTr="00815494">
        <w:tc>
          <w:tcPr>
            <w:tcW w:w="5846" w:type="dxa"/>
            <w:tcMar>
              <w:top w:w="0" w:type="dxa"/>
              <w:left w:w="108" w:type="dxa"/>
              <w:bottom w:w="0" w:type="dxa"/>
              <w:right w:w="108" w:type="dxa"/>
            </w:tcMar>
          </w:tcPr>
          <w:p w:rsidR="00307CFC" w:rsidRPr="00E643B5" w:rsidRDefault="00057B33" w:rsidP="00057B33">
            <w:pPr>
              <w:rPr>
                <w:lang w:val="nl-NL"/>
              </w:rPr>
            </w:pPr>
            <w:r>
              <w:rPr>
                <w:b/>
                <w:bCs/>
                <w:i/>
                <w:iCs/>
              </w:rPr>
              <w:t>Nơi nhận:</w:t>
            </w:r>
            <w:r>
              <w:rPr>
                <w:b/>
                <w:bCs/>
                <w:i/>
                <w:iCs/>
              </w:rPr>
              <w:br/>
            </w:r>
            <w:r w:rsidRPr="00284A35">
              <w:rPr>
                <w:sz w:val="22"/>
                <w:szCs w:val="22"/>
              </w:rPr>
              <w:t>- Thủ tướng, các Phó Thủ tướng Chính phủ;</w:t>
            </w:r>
            <w:r w:rsidRPr="00284A35">
              <w:rPr>
                <w:sz w:val="22"/>
                <w:szCs w:val="22"/>
              </w:rPr>
              <w:br/>
              <w:t>- Các Bộ, cơ quan ngang Bộ, cơ quan thuộc Chính phủ;</w:t>
            </w:r>
            <w:r w:rsidRPr="00284A35">
              <w:rPr>
                <w:sz w:val="22"/>
                <w:szCs w:val="22"/>
              </w:rPr>
              <w:br/>
              <w:t>- HĐND, UBND các tỉnh, thành phố trực thuộc TW;</w:t>
            </w:r>
            <w:r w:rsidRPr="00284A35">
              <w:rPr>
                <w:sz w:val="22"/>
                <w:szCs w:val="22"/>
              </w:rPr>
              <w:br/>
              <w:t>- Văn phòng Chủ tịch nước;</w:t>
            </w:r>
            <w:r w:rsidRPr="00284A35">
              <w:rPr>
                <w:sz w:val="22"/>
                <w:szCs w:val="22"/>
              </w:rPr>
              <w:br/>
              <w:t>- Văn phòng Quốc hội;</w:t>
            </w:r>
            <w:r w:rsidRPr="00284A35">
              <w:rPr>
                <w:sz w:val="22"/>
                <w:szCs w:val="22"/>
              </w:rPr>
              <w:br/>
              <w:t>- Hội đồng Dân tộc và các Ủy ban của Quốc hội;</w:t>
            </w:r>
            <w:r w:rsidRPr="00284A35">
              <w:rPr>
                <w:sz w:val="22"/>
                <w:szCs w:val="22"/>
              </w:rPr>
              <w:br/>
              <w:t>- Ủy ban TW Mặt trận Tổ quốc Việt Nam;</w:t>
            </w:r>
            <w:r w:rsidRPr="00284A35">
              <w:rPr>
                <w:sz w:val="22"/>
                <w:szCs w:val="22"/>
              </w:rPr>
              <w:br/>
              <w:t>- Bộ Tư pháp: Bộ trưởng, các Thứ trưởng, các đơn vị thuộc Bộ;</w:t>
            </w:r>
            <w:r w:rsidRPr="00284A35">
              <w:rPr>
                <w:sz w:val="22"/>
                <w:szCs w:val="22"/>
              </w:rPr>
              <w:br/>
              <w:t>- Cơ quan Trung ương của các hội, đoàn thể;</w:t>
            </w:r>
            <w:r w:rsidRPr="00284A35">
              <w:rPr>
                <w:sz w:val="22"/>
                <w:szCs w:val="22"/>
              </w:rPr>
              <w:br/>
              <w:t>- Vụ Pháp luật, Văn phòng Chính phủ;</w:t>
            </w:r>
            <w:r w:rsidRPr="00284A35">
              <w:rPr>
                <w:sz w:val="22"/>
                <w:szCs w:val="22"/>
              </w:rPr>
              <w:br/>
              <w:t>- Cục Kiểm tra văn bản quy phạm pháp luật, Bộ Tư pháp;</w:t>
            </w:r>
            <w:r w:rsidRPr="00284A35">
              <w:rPr>
                <w:sz w:val="22"/>
                <w:szCs w:val="22"/>
              </w:rPr>
              <w:br/>
              <w:t xml:space="preserve">- Sở Tư pháp các tỉnh, thành </w:t>
            </w:r>
            <w:r>
              <w:rPr>
                <w:sz w:val="22"/>
                <w:szCs w:val="22"/>
              </w:rPr>
              <w:t>phố trực thuộc TW;</w:t>
            </w:r>
            <w:r w:rsidRPr="00284A35">
              <w:rPr>
                <w:sz w:val="22"/>
                <w:szCs w:val="22"/>
              </w:rPr>
              <w:br/>
              <w:t>- Công báo, Cổng thông tin điện tử: Chính phủ, Bộ Tư pháp;</w:t>
            </w:r>
            <w:r w:rsidRPr="00284A35">
              <w:rPr>
                <w:sz w:val="22"/>
                <w:szCs w:val="22"/>
              </w:rPr>
              <w:br/>
              <w:t>- Lưu: VT, Cục BTTP.</w:t>
            </w:r>
          </w:p>
        </w:tc>
        <w:tc>
          <w:tcPr>
            <w:tcW w:w="4311" w:type="dxa"/>
            <w:tcMar>
              <w:top w:w="0" w:type="dxa"/>
              <w:left w:w="108" w:type="dxa"/>
              <w:bottom w:w="0" w:type="dxa"/>
              <w:right w:w="108" w:type="dxa"/>
            </w:tcMar>
          </w:tcPr>
          <w:p w:rsidR="00A63726" w:rsidRDefault="00307CFC" w:rsidP="00421AF6">
            <w:pPr>
              <w:jc w:val="center"/>
              <w:rPr>
                <w:b/>
                <w:bCs/>
                <w:sz w:val="26"/>
                <w:lang w:val="nl-NL"/>
              </w:rPr>
            </w:pPr>
            <w:r w:rsidRPr="00E643B5">
              <w:rPr>
                <w:b/>
                <w:bCs/>
                <w:sz w:val="26"/>
                <w:lang w:val="nl-NL"/>
              </w:rPr>
              <w:t>KT. BỘ TRƯỞNG</w:t>
            </w:r>
            <w:r w:rsidRPr="00E643B5">
              <w:rPr>
                <w:b/>
                <w:bCs/>
                <w:sz w:val="26"/>
                <w:lang w:val="nl-NL"/>
              </w:rPr>
              <w:br/>
              <w:t>THỨ TRƯỞNG</w:t>
            </w:r>
            <w:r w:rsidRPr="00E643B5">
              <w:rPr>
                <w:b/>
                <w:bCs/>
                <w:sz w:val="26"/>
                <w:lang w:val="nl-NL"/>
              </w:rPr>
              <w:br/>
            </w:r>
          </w:p>
          <w:p w:rsidR="00A63726" w:rsidRDefault="00A63726" w:rsidP="00421AF6">
            <w:pPr>
              <w:jc w:val="center"/>
              <w:rPr>
                <w:b/>
                <w:bCs/>
                <w:sz w:val="26"/>
                <w:lang w:val="nl-NL"/>
              </w:rPr>
            </w:pPr>
          </w:p>
          <w:p w:rsidR="00A63726" w:rsidRDefault="00A63726" w:rsidP="00421AF6">
            <w:pPr>
              <w:jc w:val="center"/>
              <w:rPr>
                <w:b/>
                <w:bCs/>
                <w:sz w:val="26"/>
                <w:lang w:val="nl-NL"/>
              </w:rPr>
            </w:pPr>
          </w:p>
          <w:p w:rsidR="00A63726" w:rsidRDefault="00A63726" w:rsidP="00421AF6">
            <w:pPr>
              <w:jc w:val="center"/>
              <w:rPr>
                <w:b/>
                <w:bCs/>
                <w:sz w:val="26"/>
                <w:lang w:val="nl-NL"/>
              </w:rPr>
            </w:pPr>
          </w:p>
          <w:p w:rsidR="00307CFC" w:rsidRPr="00D44C85" w:rsidRDefault="00307CFC" w:rsidP="00A63726">
            <w:pPr>
              <w:jc w:val="center"/>
              <w:rPr>
                <w:sz w:val="26"/>
                <w:lang w:val="nl-NL"/>
              </w:rPr>
            </w:pPr>
            <w:r w:rsidRPr="00E643B5">
              <w:rPr>
                <w:b/>
                <w:bCs/>
                <w:sz w:val="26"/>
                <w:lang w:val="nl-NL"/>
              </w:rPr>
              <w:br/>
            </w:r>
            <w:r w:rsidR="00A63726">
              <w:rPr>
                <w:b/>
                <w:bCs/>
                <w:lang w:val="nl-NL"/>
              </w:rPr>
              <w:t>Mai Lương Khôi</w:t>
            </w:r>
          </w:p>
        </w:tc>
      </w:tr>
    </w:tbl>
    <w:p w:rsidR="00274634" w:rsidRPr="007549F5" w:rsidRDefault="00307CFC" w:rsidP="00307CFC">
      <w:pPr>
        <w:rPr>
          <w:sz w:val="2"/>
          <w:szCs w:val="2"/>
          <w:lang w:val="nl-NL"/>
        </w:rPr>
      </w:pPr>
      <w:r w:rsidRPr="00D44C85">
        <w:rPr>
          <w:lang w:val="nl-NL"/>
        </w:rPr>
        <w:br w:type="page"/>
      </w:r>
    </w:p>
    <w:p w:rsidR="00274634" w:rsidRDefault="00274634" w:rsidP="00307CFC"/>
    <w:p w:rsidR="00274634" w:rsidRPr="00274634" w:rsidRDefault="00274634" w:rsidP="00274634">
      <w:pPr>
        <w:shd w:val="clear" w:color="auto" w:fill="FFFFFF"/>
        <w:spacing w:line="234" w:lineRule="atLeast"/>
        <w:jc w:val="center"/>
        <w:rPr>
          <w:color w:val="000000"/>
        </w:rPr>
      </w:pPr>
      <w:r w:rsidRPr="00274634">
        <w:rPr>
          <w:b/>
          <w:bCs/>
          <w:color w:val="000000"/>
        </w:rPr>
        <w:t xml:space="preserve">PHỤ LỤC </w:t>
      </w:r>
      <w:r w:rsidR="007549F5">
        <w:rPr>
          <w:b/>
          <w:bCs/>
          <w:color w:val="000000"/>
        </w:rPr>
        <w:t>I</w:t>
      </w:r>
    </w:p>
    <w:p w:rsidR="00274634" w:rsidRPr="00086F2B" w:rsidRDefault="00274634" w:rsidP="00274634">
      <w:pPr>
        <w:shd w:val="clear" w:color="auto" w:fill="FFFFFF"/>
        <w:spacing w:line="234" w:lineRule="atLeast"/>
        <w:jc w:val="center"/>
        <w:rPr>
          <w:b/>
          <w:color w:val="000000"/>
        </w:rPr>
      </w:pPr>
      <w:r w:rsidRPr="00086F2B">
        <w:rPr>
          <w:b/>
          <w:color w:val="000000"/>
        </w:rPr>
        <w:t xml:space="preserve">KẾ HOẠCH THU VÀ KẾ HOẠCH CHI CÁC KHOẢN </w:t>
      </w:r>
      <w:r w:rsidR="00303D4E" w:rsidRPr="00086F2B">
        <w:rPr>
          <w:b/>
          <w:color w:val="000000"/>
        </w:rPr>
        <w:t>CHI PHÍ ĐĂNG TẢI</w:t>
      </w:r>
      <w:r w:rsidR="00D06DCE" w:rsidRPr="00086F2B">
        <w:rPr>
          <w:b/>
          <w:color w:val="000000"/>
        </w:rPr>
        <w:t xml:space="preserve">, </w:t>
      </w:r>
      <w:r w:rsidR="00303D4E" w:rsidRPr="00086F2B">
        <w:rPr>
          <w:b/>
          <w:color w:val="000000"/>
        </w:rPr>
        <w:t xml:space="preserve">CHI PHÍ </w:t>
      </w:r>
      <w:r w:rsidR="00D06DCE" w:rsidRPr="00086F2B">
        <w:rPr>
          <w:b/>
          <w:color w:val="000000"/>
        </w:rPr>
        <w:t>SỬ DỤNG</w:t>
      </w:r>
      <w:r w:rsidR="00303D4E" w:rsidRPr="00086F2B">
        <w:rPr>
          <w:b/>
          <w:color w:val="000000"/>
        </w:rPr>
        <w:t xml:space="preserve"> PHẦN MỀM ĐẤU GIÁ TRỰC TUYẾN TRÊN CỔNG ĐẤU GIÁ TÀI SẢN QUỐC GIA</w:t>
      </w:r>
    </w:p>
    <w:p w:rsidR="00274634" w:rsidRPr="00815494" w:rsidRDefault="00274634" w:rsidP="00274634">
      <w:pPr>
        <w:shd w:val="clear" w:color="auto" w:fill="FFFFFF"/>
        <w:spacing w:before="120" w:after="120" w:line="234" w:lineRule="atLeast"/>
        <w:rPr>
          <w:b/>
          <w:color w:val="000000"/>
        </w:rPr>
      </w:pPr>
      <w:r w:rsidRPr="00815494">
        <w:rPr>
          <w:b/>
          <w:color w:val="000000"/>
        </w:rPr>
        <w:t>A. Kế hoạch thu</w:t>
      </w:r>
    </w:p>
    <w:p w:rsidR="00274634" w:rsidRPr="00274634" w:rsidRDefault="00274634" w:rsidP="00274634">
      <w:pPr>
        <w:shd w:val="clear" w:color="auto" w:fill="FFFFFF"/>
        <w:spacing w:before="120" w:after="120" w:line="234" w:lineRule="atLeast"/>
        <w:jc w:val="right"/>
        <w:rPr>
          <w:color w:val="000000"/>
        </w:rPr>
      </w:pPr>
      <w:r w:rsidRPr="00274634">
        <w:rPr>
          <w:i/>
          <w:iCs/>
          <w:color w:val="000000"/>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6958"/>
        <w:gridCol w:w="1620"/>
      </w:tblGrid>
      <w:tr w:rsidR="00274634" w:rsidRPr="00274634" w:rsidTr="00D550BA">
        <w:trPr>
          <w:tblCellSpacing w:w="0" w:type="dxa"/>
        </w:trPr>
        <w:tc>
          <w:tcPr>
            <w:tcW w:w="4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STT</w:t>
            </w:r>
          </w:p>
        </w:tc>
        <w:tc>
          <w:tcPr>
            <w:tcW w:w="3725"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NỘI DUNG THU</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SỐ TIỀN</w:t>
            </w: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TỔNG SỐ (I+II+III+IV)</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KINH PHÍ NĂM TRƯỚC CHUYỂN SANG</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II</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303D4E">
            <w:pPr>
              <w:spacing w:before="120" w:after="120" w:line="234" w:lineRule="atLeast"/>
              <w:rPr>
                <w:color w:val="000000"/>
              </w:rPr>
            </w:pPr>
            <w:r w:rsidRPr="00274634">
              <w:rPr>
                <w:b/>
                <w:bCs/>
                <w:color w:val="000000"/>
              </w:rPr>
              <w:t xml:space="preserve">THU </w:t>
            </w:r>
            <w:r w:rsidR="00303D4E" w:rsidRPr="00303D4E">
              <w:rPr>
                <w:b/>
                <w:bCs/>
                <w:color w:val="000000"/>
              </w:rPr>
              <w:t>CHI PHÍ ĐĂNG TẢI</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color w:val="000000"/>
              </w:rPr>
              <w:t>1</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BA7049">
            <w:pPr>
              <w:spacing w:before="120" w:after="120" w:line="234" w:lineRule="atLeast"/>
              <w:rPr>
                <w:color w:val="000000"/>
              </w:rPr>
            </w:pPr>
            <w:r w:rsidRPr="00274634">
              <w:rPr>
                <w:color w:val="000000"/>
              </w:rPr>
              <w:t xml:space="preserve">Đăng tải thông báo </w:t>
            </w:r>
            <w:r w:rsidR="00BA7049">
              <w:rPr>
                <w:color w:val="000000"/>
              </w:rPr>
              <w:t>lựa chọn tổ chức hành nghề đấu giá tài sản</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color w:val="000000"/>
              </w:rPr>
              <w:t>2</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BA7049">
            <w:pPr>
              <w:spacing w:before="120" w:after="120" w:line="234" w:lineRule="atLeast"/>
              <w:rPr>
                <w:color w:val="000000"/>
              </w:rPr>
            </w:pPr>
            <w:r w:rsidRPr="00274634">
              <w:rPr>
                <w:color w:val="000000"/>
              </w:rPr>
              <w:t xml:space="preserve">Đăng tải </w:t>
            </w:r>
            <w:r w:rsidR="00BA7049">
              <w:rPr>
                <w:color w:val="000000"/>
              </w:rPr>
              <w:t>thông báo công khai việc đấu giá tài sản</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III</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 xml:space="preserve">THU </w:t>
            </w:r>
            <w:r w:rsidR="004D1FBF">
              <w:rPr>
                <w:b/>
                <w:bCs/>
                <w:color w:val="000000"/>
              </w:rPr>
              <w:t>CHI PHÍ SỬ DỤNG</w:t>
            </w:r>
            <w:r w:rsidR="00303D4E" w:rsidRPr="00303D4E">
              <w:rPr>
                <w:b/>
                <w:bCs/>
                <w:color w:val="000000"/>
              </w:rPr>
              <w:t xml:space="preserve"> PHẦN MỀM ĐẤU GIÁ TRỰC TUYẾN</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color w:val="000000"/>
              </w:rPr>
              <w:t>1</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D06DCE" w:rsidP="00D550BA">
            <w:pPr>
              <w:spacing w:before="120" w:after="120" w:line="234" w:lineRule="atLeast"/>
              <w:rPr>
                <w:color w:val="000000"/>
              </w:rPr>
            </w:pPr>
            <w:r>
              <w:rPr>
                <w:color w:val="000000"/>
              </w:rPr>
              <w:t>Sử dụng</w:t>
            </w:r>
            <w:r w:rsidR="00D550BA">
              <w:rPr>
                <w:color w:val="000000"/>
              </w:rPr>
              <w:t xml:space="preserve"> phần mềm đấu giá trực tuyến</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D550BA">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IV</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THU KHÁC (NẾU CÓ)</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bl>
    <w:p w:rsidR="00274634" w:rsidRDefault="00274634"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D550BA" w:rsidRDefault="00D550BA"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274634" w:rsidRPr="00815494" w:rsidRDefault="00274634" w:rsidP="00274634">
      <w:pPr>
        <w:shd w:val="clear" w:color="auto" w:fill="FFFFFF"/>
        <w:spacing w:before="120" w:after="120" w:line="234" w:lineRule="atLeast"/>
        <w:rPr>
          <w:b/>
          <w:color w:val="000000"/>
        </w:rPr>
      </w:pPr>
      <w:r w:rsidRPr="00815494">
        <w:rPr>
          <w:b/>
          <w:color w:val="000000"/>
        </w:rPr>
        <w:t>B. Kế hoạch chi</w:t>
      </w:r>
    </w:p>
    <w:p w:rsidR="00274634" w:rsidRPr="00274634" w:rsidRDefault="00274634" w:rsidP="00274634">
      <w:pPr>
        <w:shd w:val="clear" w:color="auto" w:fill="FFFFFF"/>
        <w:spacing w:before="120" w:after="120" w:line="234" w:lineRule="atLeast"/>
        <w:jc w:val="right"/>
        <w:rPr>
          <w:color w:val="000000"/>
        </w:rPr>
      </w:pPr>
      <w:r w:rsidRPr="00274634">
        <w:rPr>
          <w:i/>
          <w:iCs/>
          <w:caps/>
          <w:color w:val="000000"/>
        </w:rPr>
        <w:t>(</w:t>
      </w:r>
      <w:r w:rsidRPr="00274634">
        <w:rPr>
          <w:i/>
          <w:iCs/>
          <w:color w:val="000000"/>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7265"/>
        <w:gridCol w:w="1321"/>
      </w:tblGrid>
      <w:tr w:rsidR="00274634" w:rsidRPr="00274634" w:rsidTr="00C42EB1">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b/>
                <w:bCs/>
                <w:color w:val="000000"/>
              </w:rPr>
              <w:t>STT</w:t>
            </w:r>
          </w:p>
        </w:tc>
        <w:tc>
          <w:tcPr>
            <w:tcW w:w="3889"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b/>
                <w:bCs/>
                <w:color w:val="000000"/>
              </w:rPr>
              <w:t>NỘI DUNG CHI</w:t>
            </w:r>
          </w:p>
        </w:tc>
        <w:tc>
          <w:tcPr>
            <w:tcW w:w="707"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b/>
                <w:bCs/>
                <w:color w:val="000000"/>
              </w:rPr>
              <w:t>SỐ TIỀN</w:t>
            </w: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rPr>
                <w:color w:val="000000"/>
              </w:rPr>
            </w:pPr>
            <w:r>
              <w:rPr>
                <w:b/>
                <w:bCs/>
                <w:color w:val="000000"/>
              </w:rPr>
              <w:t>TỔNG SỐ (I+II+III</w:t>
            </w:r>
            <w:r w:rsidR="00557C26">
              <w:rPr>
                <w:b/>
                <w:bCs/>
                <w:color w:val="000000"/>
              </w:rPr>
              <w:t>+IV</w:t>
            </w:r>
            <w:r w:rsidR="00274634" w:rsidRPr="00274634">
              <w:rPr>
                <w:b/>
                <w:bCs/>
                <w:color w:val="000000"/>
              </w:rPr>
              <w:t>)</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b/>
                <w:bCs/>
                <w:color w:val="000000"/>
              </w:rPr>
              <w:t>I</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r w:rsidRPr="00274634">
              <w:rPr>
                <w:b/>
                <w:bCs/>
                <w:color w:val="000000"/>
              </w:rPr>
              <w:t>THỰC HIỆN NGHĨA VỤ VỚI NGÂN SÁCH NHÀ NƯỚC</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b/>
                <w:bCs/>
                <w:color w:val="000000"/>
              </w:rPr>
              <w:t>II</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4B7D00">
            <w:pPr>
              <w:spacing w:before="120" w:line="320" w:lineRule="atLeast"/>
              <w:rPr>
                <w:color w:val="000000"/>
              </w:rPr>
            </w:pPr>
            <w:r w:rsidRPr="00274634">
              <w:rPr>
                <w:b/>
                <w:bCs/>
                <w:color w:val="000000"/>
              </w:rPr>
              <w:t xml:space="preserve">CHI ĐĂNG TẢI </w:t>
            </w:r>
            <w:r w:rsidR="004B7D00">
              <w:rPr>
                <w:b/>
                <w:bCs/>
                <w:color w:val="000000"/>
              </w:rPr>
              <w:t>VÀ</w:t>
            </w:r>
            <w:r w:rsidR="004B7D00" w:rsidRPr="00BF57CB">
              <w:rPr>
                <w:b/>
                <w:bCs/>
              </w:rPr>
              <w:t xml:space="preserve"> ĐẤU GIÁ TRỰC TUYẾN </w:t>
            </w:r>
            <w:r w:rsidR="004D79BB">
              <w:rPr>
                <w:b/>
                <w:bCs/>
                <w:color w:val="000000"/>
              </w:rPr>
              <w:t>TRÊN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jc w:val="center"/>
              <w:rPr>
                <w:color w:val="000000"/>
              </w:rPr>
            </w:pPr>
            <w:r>
              <w:rPr>
                <w:b/>
                <w:bCs/>
                <w:color w:val="000000"/>
              </w:rPr>
              <w:t>III</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7107D8">
            <w:pPr>
              <w:spacing w:before="120" w:line="320" w:lineRule="atLeast"/>
              <w:rPr>
                <w:color w:val="000000"/>
              </w:rPr>
            </w:pPr>
            <w:r w:rsidRPr="00274634">
              <w:rPr>
                <w:b/>
                <w:bCs/>
                <w:color w:val="000000"/>
              </w:rPr>
              <w:t xml:space="preserve">CHI THỰC HIỆN QUẢN LÝ </w:t>
            </w:r>
            <w:r w:rsidR="007107D8">
              <w:rPr>
                <w:b/>
                <w:bCs/>
                <w:color w:val="000000"/>
              </w:rPr>
              <w:t>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1</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483E4A">
            <w:pPr>
              <w:spacing w:before="120" w:line="320" w:lineRule="atLeast"/>
              <w:rPr>
                <w:color w:val="000000"/>
              </w:rPr>
            </w:pPr>
            <w:r w:rsidRPr="00274634">
              <w:rPr>
                <w:color w:val="000000"/>
              </w:rPr>
              <w:t xml:space="preserve">Chi thực hiện nghĩa vụ với </w:t>
            </w:r>
            <w:r w:rsidR="00483E4A">
              <w:rPr>
                <w:color w:val="000000"/>
              </w:rPr>
              <w:t>n</w:t>
            </w:r>
            <w:r w:rsidRPr="00274634">
              <w:rPr>
                <w:color w:val="000000"/>
              </w:rPr>
              <w:t>gân sách nhà nước</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2</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305D83" w:rsidP="00305D83">
            <w:pPr>
              <w:spacing w:before="120" w:line="320" w:lineRule="atLeast"/>
              <w:jc w:val="both"/>
              <w:rPr>
                <w:color w:val="000000"/>
              </w:rPr>
            </w:pPr>
            <w:r>
              <w:rPr>
                <w:bCs/>
              </w:rPr>
              <w:t>Chi tổ chức quản lý, giám sát việc đăng tải thông tin, việc đấu giá trực tuyến trên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3</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305D83" w:rsidP="00305D83">
            <w:pPr>
              <w:spacing w:before="120" w:line="320" w:lineRule="atLeast"/>
              <w:jc w:val="both"/>
              <w:rPr>
                <w:color w:val="000000"/>
              </w:rPr>
            </w:pPr>
            <w:r>
              <w:rPr>
                <w:bCs/>
              </w:rPr>
              <w:t>Chi tổ chức quản lý, giám sát, vận hành, phát triển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4</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305D83">
            <w:pPr>
              <w:spacing w:before="120" w:line="320" w:lineRule="atLeast"/>
              <w:jc w:val="both"/>
              <w:rPr>
                <w:color w:val="000000"/>
              </w:rPr>
            </w:pPr>
            <w:r w:rsidRPr="00483E4A">
              <w:rPr>
                <w:bCs/>
              </w:rPr>
              <w:t xml:space="preserve">Chi hoạt động hướng dẫn, đào tạo người sử dụng </w:t>
            </w:r>
            <w:r>
              <w:rPr>
                <w:bCs/>
              </w:rPr>
              <w:t>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5</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rPr>
                <w:color w:val="000000"/>
              </w:rPr>
            </w:pPr>
            <w:r>
              <w:rPr>
                <w:bCs/>
              </w:rPr>
              <w:t>Chi hoạt động liên quan đến công việc tiếp nhận, xử lý thông tin đăng tải trên Cổng Đấu giá tài sản quốc gia, đấu giá trực tuyến, ứng dụng công nghệ thông tin trong công tác đấu giá tài sản, quản lý dữ liệu về đấu giá viên, tổ chức hành nghề đấu giá</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6</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rPr>
                <w:color w:val="000000"/>
              </w:rPr>
            </w:pPr>
            <w:r>
              <w:rPr>
                <w:bCs/>
              </w:rPr>
              <w:t>Sử dụng cho các quỹ thực hiện theo quy định về tự chủ trong đơn vị sự nghiệp công lập</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7</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rPr>
                <w:color w:val="000000"/>
              </w:rPr>
            </w:pPr>
            <w:r>
              <w:rPr>
                <w:bCs/>
              </w:rPr>
              <w:t>Các nhiệm vụ chi thường xuyên, chi khác theo quy định pháp luật</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jc w:val="center"/>
              <w:rPr>
                <w:color w:val="000000"/>
              </w:rPr>
            </w:pPr>
            <w:r w:rsidRPr="00274634">
              <w:rPr>
                <w:color w:val="000000"/>
              </w:rPr>
              <w:t>8</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483E4A" w:rsidP="00274634">
            <w:pPr>
              <w:spacing w:before="120" w:line="320" w:lineRule="atLeast"/>
              <w:rPr>
                <w:color w:val="000000"/>
              </w:rPr>
            </w:pPr>
            <w:r w:rsidRPr="00483E4A">
              <w:rPr>
                <w:bCs/>
              </w:rPr>
              <w:t xml:space="preserve">Các nhiệm vụ chi thường xuyên, chi đầu tư khác phục vụ triển khai áp dụng đấu </w:t>
            </w:r>
            <w:r>
              <w:rPr>
                <w:bCs/>
              </w:rPr>
              <w:t>giá trực tuyến</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r w:rsidR="00274634" w:rsidRPr="00274634" w:rsidTr="00C42EB1">
        <w:trPr>
          <w:tblCellSpacing w:w="0" w:type="dxa"/>
        </w:trPr>
        <w:tc>
          <w:tcPr>
            <w:tcW w:w="404"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583B8C" w:rsidP="00274634">
            <w:pPr>
              <w:spacing w:before="120" w:line="320" w:lineRule="atLeast"/>
              <w:jc w:val="center"/>
              <w:rPr>
                <w:color w:val="000000"/>
              </w:rPr>
            </w:pPr>
            <w:r>
              <w:rPr>
                <w:b/>
                <w:bCs/>
                <w:color w:val="000000"/>
              </w:rPr>
              <w:t>I</w:t>
            </w:r>
            <w:r w:rsidR="00274634" w:rsidRPr="00274634">
              <w:rPr>
                <w:b/>
                <w:bCs/>
                <w:color w:val="000000"/>
              </w:rPr>
              <w:t>V</w:t>
            </w:r>
          </w:p>
        </w:tc>
        <w:tc>
          <w:tcPr>
            <w:tcW w:w="3889"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r w:rsidRPr="00274634">
              <w:rPr>
                <w:b/>
                <w:bCs/>
                <w:color w:val="000000"/>
              </w:rPr>
              <w:t>PHÂN PHỐI KẾT QUẢ TÀI CHÍNH THEO CƠ CHẾ TỰ CHỦ</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line="320" w:lineRule="atLeast"/>
              <w:rPr>
                <w:color w:val="000000"/>
              </w:rPr>
            </w:pPr>
          </w:p>
        </w:tc>
      </w:tr>
    </w:tbl>
    <w:p w:rsidR="00274634" w:rsidRDefault="00274634" w:rsidP="00274634">
      <w:pPr>
        <w:shd w:val="clear" w:color="auto" w:fill="FFFFFF"/>
        <w:spacing w:line="234" w:lineRule="atLeast"/>
        <w:rPr>
          <w:b/>
          <w:bCs/>
          <w:color w:val="000000"/>
        </w:rPr>
      </w:pPr>
    </w:p>
    <w:p w:rsidR="00483E4A" w:rsidRDefault="00483E4A" w:rsidP="00274634">
      <w:pPr>
        <w:shd w:val="clear" w:color="auto" w:fill="FFFFFF"/>
        <w:spacing w:line="234" w:lineRule="atLeast"/>
        <w:jc w:val="center"/>
        <w:rPr>
          <w:b/>
          <w:bCs/>
          <w:color w:val="000000"/>
        </w:rPr>
      </w:pPr>
    </w:p>
    <w:p w:rsidR="00483E4A" w:rsidRDefault="00483E4A" w:rsidP="007549F5">
      <w:pPr>
        <w:shd w:val="clear" w:color="auto" w:fill="FFFFFF"/>
        <w:spacing w:line="234" w:lineRule="atLeast"/>
        <w:rPr>
          <w:b/>
          <w:bCs/>
          <w:color w:val="000000"/>
        </w:rPr>
      </w:pPr>
    </w:p>
    <w:p w:rsidR="00274634" w:rsidRPr="00274634" w:rsidRDefault="007549F5" w:rsidP="00274634">
      <w:pPr>
        <w:shd w:val="clear" w:color="auto" w:fill="FFFFFF"/>
        <w:spacing w:line="234" w:lineRule="atLeast"/>
        <w:jc w:val="center"/>
        <w:rPr>
          <w:color w:val="000000"/>
        </w:rPr>
      </w:pPr>
      <w:r>
        <w:rPr>
          <w:b/>
          <w:bCs/>
          <w:color w:val="000000"/>
        </w:rPr>
        <w:lastRenderedPageBreak/>
        <w:t>PHỤ LỤC II</w:t>
      </w:r>
    </w:p>
    <w:p w:rsidR="00274634" w:rsidRPr="00815494" w:rsidRDefault="00274634" w:rsidP="00274634">
      <w:pPr>
        <w:shd w:val="clear" w:color="auto" w:fill="FFFFFF"/>
        <w:spacing w:line="234" w:lineRule="atLeast"/>
        <w:jc w:val="center"/>
        <w:rPr>
          <w:b/>
          <w:color w:val="000000"/>
        </w:rPr>
      </w:pPr>
      <w:r w:rsidRPr="00815494">
        <w:rPr>
          <w:b/>
          <w:color w:val="000000"/>
        </w:rPr>
        <w:t xml:space="preserve">QUYẾT TOÁN THU VÀ QUYẾT TOÁN CHI </w:t>
      </w:r>
      <w:r w:rsidR="00484CBD" w:rsidRPr="00815494">
        <w:rPr>
          <w:b/>
          <w:color w:val="000000"/>
        </w:rPr>
        <w:t>CÁC KHOẢN CHI PHÍ ĐĂNG TẢI</w:t>
      </w:r>
      <w:r w:rsidR="00FA263E" w:rsidRPr="00815494">
        <w:rPr>
          <w:b/>
          <w:color w:val="000000"/>
        </w:rPr>
        <w:t>, CHI PHÍ SỬ DỤNG</w:t>
      </w:r>
      <w:r w:rsidR="00484CBD" w:rsidRPr="00815494">
        <w:rPr>
          <w:b/>
          <w:color w:val="000000"/>
        </w:rPr>
        <w:t xml:space="preserve"> PHẦN MỀM ĐẤU GIÁ TRỰC TUYẾN TRÊN CỔNG ĐẤU GIÁ TÀI SẢN QUỐC GIA</w:t>
      </w:r>
    </w:p>
    <w:p w:rsidR="00274634" w:rsidRPr="00815494" w:rsidRDefault="00274634" w:rsidP="00274634">
      <w:pPr>
        <w:shd w:val="clear" w:color="auto" w:fill="FFFFFF"/>
        <w:spacing w:before="120" w:after="120" w:line="234" w:lineRule="atLeast"/>
        <w:rPr>
          <w:b/>
          <w:color w:val="000000"/>
        </w:rPr>
      </w:pPr>
      <w:r w:rsidRPr="00815494">
        <w:rPr>
          <w:b/>
          <w:color w:val="000000"/>
        </w:rPr>
        <w:t>A. Quyết toán thu</w:t>
      </w:r>
    </w:p>
    <w:p w:rsidR="00274634" w:rsidRPr="00274634" w:rsidRDefault="00274634" w:rsidP="00274634">
      <w:pPr>
        <w:shd w:val="clear" w:color="auto" w:fill="FFFFFF"/>
        <w:spacing w:before="120" w:after="120" w:line="234" w:lineRule="atLeast"/>
        <w:jc w:val="right"/>
        <w:rPr>
          <w:color w:val="000000"/>
        </w:rPr>
      </w:pPr>
      <w:r w:rsidRPr="00274634">
        <w:rPr>
          <w:i/>
          <w:iCs/>
          <w:color w:val="000000"/>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6958"/>
        <w:gridCol w:w="1620"/>
      </w:tblGrid>
      <w:tr w:rsidR="00274634" w:rsidRPr="00274634" w:rsidTr="00583B8C">
        <w:trPr>
          <w:tblCellSpacing w:w="0" w:type="dxa"/>
        </w:trPr>
        <w:tc>
          <w:tcPr>
            <w:tcW w:w="4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STT</w:t>
            </w:r>
          </w:p>
        </w:tc>
        <w:tc>
          <w:tcPr>
            <w:tcW w:w="3725"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NỘI DUNG THU</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SỐ TIỀN</w:t>
            </w:r>
          </w:p>
        </w:tc>
      </w:tr>
      <w:tr w:rsidR="00274634"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1F1CE4" w:rsidP="00274634">
            <w:pPr>
              <w:spacing w:before="120" w:after="120" w:line="234" w:lineRule="atLeast"/>
              <w:rPr>
                <w:color w:val="000000"/>
              </w:rPr>
            </w:pPr>
            <w:r>
              <w:rPr>
                <w:b/>
                <w:bCs/>
                <w:color w:val="000000"/>
              </w:rPr>
              <w:t>TỔNG SỐ (I+II+III+IV</w:t>
            </w:r>
            <w:r w:rsidR="00274634" w:rsidRPr="00274634">
              <w:rPr>
                <w:b/>
                <w:bCs/>
                <w:color w:val="000000"/>
              </w:rPr>
              <w:t>)</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KINH PHÍ NĂM TRƯỚC CHUYỂN SANG</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583B8C"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jc w:val="center"/>
              <w:rPr>
                <w:color w:val="000000"/>
              </w:rPr>
            </w:pPr>
            <w:r w:rsidRPr="00274634">
              <w:rPr>
                <w:b/>
                <w:bCs/>
                <w:color w:val="000000"/>
              </w:rPr>
              <w:t>II</w:t>
            </w:r>
          </w:p>
        </w:tc>
        <w:tc>
          <w:tcPr>
            <w:tcW w:w="3725"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rPr>
                <w:color w:val="000000"/>
              </w:rPr>
            </w:pPr>
            <w:r w:rsidRPr="00274634">
              <w:rPr>
                <w:b/>
                <w:bCs/>
                <w:color w:val="000000"/>
              </w:rPr>
              <w:t xml:space="preserve">THU </w:t>
            </w:r>
            <w:r w:rsidRPr="00303D4E">
              <w:rPr>
                <w:b/>
                <w:bCs/>
                <w:color w:val="000000"/>
              </w:rPr>
              <w:t>CHI PHÍ ĐĂNG TẢI</w:t>
            </w:r>
          </w:p>
        </w:tc>
        <w:tc>
          <w:tcPr>
            <w:tcW w:w="867"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rPr>
                <w:color w:val="000000"/>
              </w:rPr>
            </w:pPr>
          </w:p>
        </w:tc>
      </w:tr>
      <w:tr w:rsidR="00583B8C"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jc w:val="center"/>
              <w:rPr>
                <w:color w:val="000000"/>
              </w:rPr>
            </w:pPr>
            <w:r w:rsidRPr="00274634">
              <w:rPr>
                <w:color w:val="000000"/>
              </w:rPr>
              <w:t>1</w:t>
            </w:r>
          </w:p>
        </w:tc>
        <w:tc>
          <w:tcPr>
            <w:tcW w:w="3725"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rPr>
                <w:color w:val="000000"/>
              </w:rPr>
            </w:pPr>
            <w:r w:rsidRPr="00274634">
              <w:rPr>
                <w:color w:val="000000"/>
              </w:rPr>
              <w:t xml:space="preserve">Đăng tải thông báo </w:t>
            </w:r>
            <w:r>
              <w:rPr>
                <w:color w:val="000000"/>
              </w:rPr>
              <w:t>lựa chọn tổ chức hành nghề đấu giá tài sản</w:t>
            </w:r>
          </w:p>
        </w:tc>
        <w:tc>
          <w:tcPr>
            <w:tcW w:w="867"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rPr>
                <w:color w:val="000000"/>
              </w:rPr>
            </w:pPr>
          </w:p>
        </w:tc>
      </w:tr>
      <w:tr w:rsidR="00583B8C"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jc w:val="center"/>
              <w:rPr>
                <w:color w:val="000000"/>
              </w:rPr>
            </w:pPr>
            <w:r w:rsidRPr="00274634">
              <w:rPr>
                <w:color w:val="000000"/>
              </w:rPr>
              <w:t>2</w:t>
            </w:r>
          </w:p>
        </w:tc>
        <w:tc>
          <w:tcPr>
            <w:tcW w:w="3725"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rPr>
                <w:color w:val="000000"/>
              </w:rPr>
            </w:pPr>
            <w:r w:rsidRPr="00274634">
              <w:rPr>
                <w:color w:val="000000"/>
              </w:rPr>
              <w:t xml:space="preserve">Đăng tải </w:t>
            </w:r>
            <w:r>
              <w:rPr>
                <w:color w:val="000000"/>
              </w:rPr>
              <w:t>thông báo công khai việc đấu giá tài sản</w:t>
            </w:r>
          </w:p>
        </w:tc>
        <w:tc>
          <w:tcPr>
            <w:tcW w:w="867"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rPr>
                <w:color w:val="000000"/>
              </w:rPr>
            </w:pPr>
          </w:p>
        </w:tc>
      </w:tr>
      <w:tr w:rsidR="00274634"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III</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583B8C" w:rsidP="004D1FBF">
            <w:pPr>
              <w:spacing w:before="120" w:after="120" w:line="234" w:lineRule="atLeast"/>
              <w:rPr>
                <w:color w:val="000000"/>
              </w:rPr>
            </w:pPr>
            <w:r w:rsidRPr="00274634">
              <w:rPr>
                <w:b/>
                <w:bCs/>
                <w:color w:val="000000"/>
              </w:rPr>
              <w:t xml:space="preserve">THU </w:t>
            </w:r>
            <w:r>
              <w:rPr>
                <w:b/>
                <w:bCs/>
                <w:color w:val="000000"/>
              </w:rPr>
              <w:t xml:space="preserve">CHI PHÍ </w:t>
            </w:r>
            <w:r w:rsidR="004D1FBF">
              <w:rPr>
                <w:b/>
                <w:bCs/>
                <w:color w:val="000000"/>
              </w:rPr>
              <w:t>SỬ DỤNG</w:t>
            </w:r>
            <w:r w:rsidRPr="00303D4E">
              <w:rPr>
                <w:b/>
                <w:bCs/>
                <w:color w:val="000000"/>
              </w:rPr>
              <w:t xml:space="preserve"> PHẦN MỀM ĐẤU GIÁ TRỰC TUYẾN</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583B8C"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583B8C" w:rsidRPr="00274634" w:rsidRDefault="00583B8C" w:rsidP="00583B8C">
            <w:pPr>
              <w:spacing w:before="120" w:after="120" w:line="234" w:lineRule="atLeast"/>
              <w:jc w:val="center"/>
              <w:rPr>
                <w:color w:val="000000"/>
              </w:rPr>
            </w:pPr>
            <w:r w:rsidRPr="00274634">
              <w:rPr>
                <w:color w:val="000000"/>
              </w:rPr>
              <w:t>1</w:t>
            </w:r>
          </w:p>
        </w:tc>
        <w:tc>
          <w:tcPr>
            <w:tcW w:w="3725" w:type="pct"/>
            <w:tcBorders>
              <w:top w:val="nil"/>
              <w:left w:val="nil"/>
              <w:bottom w:val="single" w:sz="8" w:space="0" w:color="auto"/>
              <w:right w:val="single" w:sz="8" w:space="0" w:color="auto"/>
            </w:tcBorders>
            <w:shd w:val="clear" w:color="auto" w:fill="auto"/>
            <w:vAlign w:val="center"/>
            <w:hideMark/>
          </w:tcPr>
          <w:p w:rsidR="00583B8C" w:rsidRPr="00274634" w:rsidRDefault="00FA263E" w:rsidP="00583B8C">
            <w:pPr>
              <w:spacing w:before="120" w:after="120" w:line="234" w:lineRule="atLeast"/>
              <w:rPr>
                <w:color w:val="000000"/>
              </w:rPr>
            </w:pPr>
            <w:r>
              <w:rPr>
                <w:color w:val="000000"/>
              </w:rPr>
              <w:t>Sử dụng</w:t>
            </w:r>
            <w:r w:rsidR="00583B8C">
              <w:rPr>
                <w:color w:val="000000"/>
              </w:rPr>
              <w:t xml:space="preserve"> phần mềm đấu giá trực tuyến</w:t>
            </w:r>
          </w:p>
        </w:tc>
        <w:tc>
          <w:tcPr>
            <w:tcW w:w="867" w:type="pct"/>
            <w:tcBorders>
              <w:top w:val="nil"/>
              <w:left w:val="nil"/>
              <w:bottom w:val="single" w:sz="8" w:space="0" w:color="auto"/>
              <w:right w:val="single" w:sz="8" w:space="0" w:color="auto"/>
            </w:tcBorders>
            <w:shd w:val="clear" w:color="auto" w:fill="auto"/>
            <w:vAlign w:val="center"/>
            <w:hideMark/>
          </w:tcPr>
          <w:p w:rsidR="00583B8C" w:rsidRPr="00274634" w:rsidRDefault="00583B8C" w:rsidP="00583B8C">
            <w:pPr>
              <w:rPr>
                <w:color w:val="000000"/>
              </w:rPr>
            </w:pPr>
          </w:p>
        </w:tc>
      </w:tr>
      <w:tr w:rsidR="00274634" w:rsidRPr="00274634" w:rsidTr="00583B8C">
        <w:trPr>
          <w:tblCellSpacing w:w="0" w:type="dxa"/>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IV</w:t>
            </w:r>
          </w:p>
        </w:tc>
        <w:tc>
          <w:tcPr>
            <w:tcW w:w="3725"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THU KHÁC (NẾU CÓ)</w:t>
            </w:r>
          </w:p>
        </w:tc>
        <w:tc>
          <w:tcPr>
            <w:tcW w:w="86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bl>
    <w:p w:rsidR="00274634" w:rsidRDefault="00274634"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583B8C" w:rsidRDefault="00583B8C" w:rsidP="00274634">
      <w:pPr>
        <w:shd w:val="clear" w:color="auto" w:fill="FFFFFF"/>
        <w:spacing w:before="120" w:after="120" w:line="234" w:lineRule="atLeast"/>
        <w:rPr>
          <w:color w:val="000000"/>
        </w:rPr>
      </w:pPr>
    </w:p>
    <w:p w:rsidR="00583B8C" w:rsidRDefault="00583B8C" w:rsidP="00274634">
      <w:pPr>
        <w:shd w:val="clear" w:color="auto" w:fill="FFFFFF"/>
        <w:spacing w:before="120" w:after="120" w:line="234" w:lineRule="atLeast"/>
        <w:rPr>
          <w:color w:val="000000"/>
        </w:rPr>
      </w:pPr>
    </w:p>
    <w:p w:rsidR="00583B8C" w:rsidRDefault="00583B8C" w:rsidP="00274634">
      <w:pPr>
        <w:shd w:val="clear" w:color="auto" w:fill="FFFFFF"/>
        <w:spacing w:before="120" w:after="120" w:line="234" w:lineRule="atLeast"/>
        <w:rPr>
          <w:color w:val="000000"/>
        </w:rPr>
      </w:pPr>
    </w:p>
    <w:p w:rsidR="00583B8C" w:rsidRDefault="00583B8C" w:rsidP="00274634">
      <w:pPr>
        <w:shd w:val="clear" w:color="auto" w:fill="FFFFFF"/>
        <w:spacing w:before="120" w:after="120" w:line="234" w:lineRule="atLeast"/>
        <w:rPr>
          <w:color w:val="000000"/>
        </w:rPr>
      </w:pPr>
    </w:p>
    <w:p w:rsidR="00274634" w:rsidRDefault="00274634" w:rsidP="00274634">
      <w:pPr>
        <w:shd w:val="clear" w:color="auto" w:fill="FFFFFF"/>
        <w:spacing w:before="120" w:after="120" w:line="234" w:lineRule="atLeast"/>
        <w:rPr>
          <w:color w:val="000000"/>
        </w:rPr>
      </w:pPr>
    </w:p>
    <w:p w:rsidR="00D53404" w:rsidRDefault="00D53404" w:rsidP="00274634">
      <w:pPr>
        <w:shd w:val="clear" w:color="auto" w:fill="FFFFFF"/>
        <w:spacing w:before="120" w:after="120" w:line="234" w:lineRule="atLeast"/>
        <w:rPr>
          <w:b/>
          <w:color w:val="000000"/>
        </w:rPr>
      </w:pPr>
    </w:p>
    <w:p w:rsidR="00274634" w:rsidRPr="00815494" w:rsidRDefault="00274634" w:rsidP="00274634">
      <w:pPr>
        <w:shd w:val="clear" w:color="auto" w:fill="FFFFFF"/>
        <w:spacing w:before="120" w:after="120" w:line="234" w:lineRule="atLeast"/>
        <w:rPr>
          <w:b/>
          <w:color w:val="000000"/>
        </w:rPr>
      </w:pPr>
      <w:bookmarkStart w:id="5" w:name="_GoBack"/>
      <w:bookmarkEnd w:id="5"/>
      <w:r w:rsidRPr="00815494">
        <w:rPr>
          <w:b/>
          <w:color w:val="000000"/>
        </w:rPr>
        <w:lastRenderedPageBreak/>
        <w:t>B. Quyết toán chi</w:t>
      </w:r>
    </w:p>
    <w:p w:rsidR="00274634" w:rsidRPr="00274634" w:rsidRDefault="00274634" w:rsidP="00274634">
      <w:pPr>
        <w:shd w:val="clear" w:color="auto" w:fill="FFFFFF"/>
        <w:spacing w:before="120" w:after="120" w:line="234" w:lineRule="atLeast"/>
        <w:jc w:val="right"/>
        <w:rPr>
          <w:color w:val="000000"/>
        </w:rPr>
      </w:pPr>
      <w:r w:rsidRPr="00274634">
        <w:rPr>
          <w:i/>
          <w:iCs/>
          <w:color w:val="000000"/>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7169"/>
        <w:gridCol w:w="1321"/>
      </w:tblGrid>
      <w:tr w:rsidR="00274634" w:rsidRPr="00274634" w:rsidTr="001F1CE4">
        <w:trPr>
          <w:tblCellSpacing w:w="0" w:type="dxa"/>
        </w:trPr>
        <w:tc>
          <w:tcPr>
            <w:tcW w:w="4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STT</w:t>
            </w:r>
          </w:p>
        </w:tc>
        <w:tc>
          <w:tcPr>
            <w:tcW w:w="3838"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NỘI DUNG CHI</w:t>
            </w:r>
          </w:p>
        </w:tc>
        <w:tc>
          <w:tcPr>
            <w:tcW w:w="707" w:type="pct"/>
            <w:tcBorders>
              <w:top w:val="single" w:sz="8" w:space="0" w:color="auto"/>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SỐ TIỀN</w:t>
            </w:r>
          </w:p>
        </w:tc>
      </w:tr>
      <w:tr w:rsidR="0027463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c>
          <w:tcPr>
            <w:tcW w:w="3838" w:type="pct"/>
            <w:tcBorders>
              <w:top w:val="nil"/>
              <w:left w:val="nil"/>
              <w:bottom w:val="single" w:sz="8" w:space="0" w:color="auto"/>
              <w:right w:val="single" w:sz="8" w:space="0" w:color="auto"/>
            </w:tcBorders>
            <w:shd w:val="clear" w:color="auto" w:fill="auto"/>
            <w:vAlign w:val="center"/>
            <w:hideMark/>
          </w:tcPr>
          <w:p w:rsidR="00274634" w:rsidRPr="00274634" w:rsidRDefault="00557C26" w:rsidP="00274634">
            <w:pPr>
              <w:spacing w:before="120" w:after="120" w:line="234" w:lineRule="atLeast"/>
              <w:rPr>
                <w:color w:val="000000"/>
              </w:rPr>
            </w:pPr>
            <w:r>
              <w:rPr>
                <w:b/>
                <w:bCs/>
                <w:color w:val="000000"/>
              </w:rPr>
              <w:t>TỔNG SỐ (I+II+III+IV</w:t>
            </w:r>
            <w:r w:rsidR="00274634" w:rsidRPr="00274634">
              <w:rPr>
                <w:b/>
                <w:bCs/>
                <w:color w:val="000000"/>
              </w:rPr>
              <w:t>)</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w:t>
            </w:r>
          </w:p>
        </w:tc>
        <w:tc>
          <w:tcPr>
            <w:tcW w:w="3838"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THỰC HIỆN NGHĨA VỤ VỚI NGÂN SÁCH NHÀ NƯỚC</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II</w:t>
            </w:r>
          </w:p>
        </w:tc>
        <w:tc>
          <w:tcPr>
            <w:tcW w:w="3838" w:type="pct"/>
            <w:tcBorders>
              <w:top w:val="nil"/>
              <w:left w:val="nil"/>
              <w:bottom w:val="single" w:sz="8" w:space="0" w:color="auto"/>
              <w:right w:val="single" w:sz="8" w:space="0" w:color="auto"/>
            </w:tcBorders>
            <w:shd w:val="clear" w:color="auto" w:fill="auto"/>
            <w:vAlign w:val="center"/>
            <w:hideMark/>
          </w:tcPr>
          <w:p w:rsidR="00274634" w:rsidRPr="00274634" w:rsidRDefault="001F1CE4" w:rsidP="00274634">
            <w:pPr>
              <w:spacing w:before="120" w:after="120" w:line="234" w:lineRule="atLeast"/>
              <w:rPr>
                <w:color w:val="000000"/>
              </w:rPr>
            </w:pPr>
            <w:r w:rsidRPr="00274634">
              <w:rPr>
                <w:b/>
                <w:bCs/>
                <w:color w:val="000000"/>
              </w:rPr>
              <w:t xml:space="preserve">CHI ĐĂNG TẢI </w:t>
            </w:r>
            <w:r>
              <w:rPr>
                <w:b/>
                <w:bCs/>
                <w:color w:val="000000"/>
              </w:rPr>
              <w:t>VÀ</w:t>
            </w:r>
            <w:r w:rsidRPr="00BF57CB">
              <w:rPr>
                <w:b/>
                <w:bCs/>
              </w:rPr>
              <w:t xml:space="preserve"> ĐẤU GIÁ TRỰC TUYẾN </w:t>
            </w:r>
            <w:r>
              <w:rPr>
                <w:b/>
                <w:bCs/>
                <w:color w:val="000000"/>
              </w:rPr>
              <w:t>TRÊN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27463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jc w:val="center"/>
              <w:rPr>
                <w:color w:val="000000"/>
              </w:rPr>
            </w:pPr>
            <w:r w:rsidRPr="00274634">
              <w:rPr>
                <w:b/>
                <w:bCs/>
                <w:color w:val="000000"/>
              </w:rPr>
              <w:t>III</w:t>
            </w:r>
          </w:p>
        </w:tc>
        <w:tc>
          <w:tcPr>
            <w:tcW w:w="3838" w:type="pct"/>
            <w:tcBorders>
              <w:top w:val="nil"/>
              <w:left w:val="nil"/>
              <w:bottom w:val="single" w:sz="8" w:space="0" w:color="auto"/>
              <w:right w:val="single" w:sz="8" w:space="0" w:color="auto"/>
            </w:tcBorders>
            <w:shd w:val="clear" w:color="auto" w:fill="auto"/>
            <w:vAlign w:val="center"/>
            <w:hideMark/>
          </w:tcPr>
          <w:p w:rsidR="00274634" w:rsidRPr="00274634" w:rsidRDefault="001F1CE4" w:rsidP="00274634">
            <w:pPr>
              <w:spacing w:before="120" w:after="120" w:line="234" w:lineRule="atLeast"/>
              <w:rPr>
                <w:color w:val="000000"/>
              </w:rPr>
            </w:pPr>
            <w:r w:rsidRPr="00274634">
              <w:rPr>
                <w:b/>
                <w:bCs/>
                <w:color w:val="000000"/>
              </w:rPr>
              <w:t xml:space="preserve">CHI THỰC HIỆN QUẢN LÝ </w:t>
            </w:r>
            <w:r>
              <w:rPr>
                <w:b/>
                <w:bCs/>
                <w:color w:val="000000"/>
              </w:rPr>
              <w:t>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1</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r w:rsidRPr="00274634">
              <w:rPr>
                <w:color w:val="000000"/>
              </w:rPr>
              <w:t xml:space="preserve">Chi thực hiện nghĩa vụ với </w:t>
            </w:r>
            <w:r>
              <w:rPr>
                <w:color w:val="000000"/>
              </w:rPr>
              <w:t>n</w:t>
            </w:r>
            <w:r w:rsidRPr="00274634">
              <w:rPr>
                <w:color w:val="000000"/>
              </w:rPr>
              <w:t>gân sách nhà nước</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2</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both"/>
              <w:rPr>
                <w:color w:val="000000"/>
              </w:rPr>
            </w:pPr>
            <w:r>
              <w:rPr>
                <w:bCs/>
              </w:rPr>
              <w:t>Chi tổ chức quản lý, giám sát việc đăng tải thông tin, việc đấu giá trực tuyến trên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3</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both"/>
              <w:rPr>
                <w:color w:val="000000"/>
              </w:rPr>
            </w:pPr>
            <w:r>
              <w:rPr>
                <w:bCs/>
              </w:rPr>
              <w:t>Chi tổ chức quản lý, giám sát, vận hành, phát triển 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4</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both"/>
              <w:rPr>
                <w:color w:val="000000"/>
              </w:rPr>
            </w:pPr>
            <w:r w:rsidRPr="00483E4A">
              <w:rPr>
                <w:bCs/>
              </w:rPr>
              <w:t xml:space="preserve">Chi hoạt động hướng dẫn, đào tạo người sử dụng </w:t>
            </w:r>
            <w:r>
              <w:rPr>
                <w:bCs/>
              </w:rPr>
              <w:t>Cổng Đấu giá tài sản quốc gia</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5</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r>
              <w:rPr>
                <w:bCs/>
              </w:rPr>
              <w:t>Chi hoạt động liên quan đến công việc tiếp nhận, xử lý thông tin đăng tải trên Cổng Đấu giá tài sản quốc gia, đấu giá trực tuyến, ứng dụng công nghệ thông tin trong công tác đấu giá tài sản, quản lý dữ liệu về đấu giá viên, tổ chức hành nghề đấu giá</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6</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r>
              <w:rPr>
                <w:bCs/>
              </w:rPr>
              <w:t>Sử dụng cho các quỹ thực hiện theo quy định về tự chủ trong đơn vị sự nghiệp công lập</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7</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r>
              <w:rPr>
                <w:bCs/>
              </w:rPr>
              <w:t>Các nhiệm vụ chi thường xuyên, chi khác theo quy định pháp luật</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1F1CE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jc w:val="center"/>
              <w:rPr>
                <w:color w:val="000000"/>
              </w:rPr>
            </w:pPr>
            <w:r w:rsidRPr="00274634">
              <w:rPr>
                <w:color w:val="000000"/>
              </w:rPr>
              <w:t>8</w:t>
            </w:r>
          </w:p>
        </w:tc>
        <w:tc>
          <w:tcPr>
            <w:tcW w:w="3838"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r w:rsidRPr="00483E4A">
              <w:rPr>
                <w:bCs/>
              </w:rPr>
              <w:t xml:space="preserve">Các nhiệm vụ chi thường xuyên, chi đầu tư khác phục vụ triển khai áp dụng đấu </w:t>
            </w:r>
            <w:r>
              <w:rPr>
                <w:bCs/>
              </w:rPr>
              <w:t>giá trực tuyến</w:t>
            </w:r>
          </w:p>
        </w:tc>
        <w:tc>
          <w:tcPr>
            <w:tcW w:w="707" w:type="pct"/>
            <w:tcBorders>
              <w:top w:val="nil"/>
              <w:left w:val="nil"/>
              <w:bottom w:val="single" w:sz="8" w:space="0" w:color="auto"/>
              <w:right w:val="single" w:sz="8" w:space="0" w:color="auto"/>
            </w:tcBorders>
            <w:shd w:val="clear" w:color="auto" w:fill="auto"/>
            <w:vAlign w:val="center"/>
            <w:hideMark/>
          </w:tcPr>
          <w:p w:rsidR="001F1CE4" w:rsidRPr="00274634" w:rsidRDefault="001F1CE4" w:rsidP="001F1CE4">
            <w:pPr>
              <w:spacing w:before="120" w:line="320" w:lineRule="atLeast"/>
              <w:rPr>
                <w:color w:val="000000"/>
              </w:rPr>
            </w:pPr>
          </w:p>
        </w:tc>
      </w:tr>
      <w:tr w:rsidR="00274634" w:rsidRPr="00274634" w:rsidTr="001F1CE4">
        <w:trPr>
          <w:tblCellSpacing w:w="0" w:type="dxa"/>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274634" w:rsidRPr="00274634" w:rsidRDefault="001F1CE4" w:rsidP="00274634">
            <w:pPr>
              <w:spacing w:before="120" w:after="120" w:line="234" w:lineRule="atLeast"/>
              <w:jc w:val="center"/>
              <w:rPr>
                <w:color w:val="000000"/>
              </w:rPr>
            </w:pPr>
            <w:r>
              <w:rPr>
                <w:b/>
                <w:bCs/>
                <w:color w:val="000000"/>
              </w:rPr>
              <w:t>I</w:t>
            </w:r>
            <w:r w:rsidR="00274634" w:rsidRPr="00274634">
              <w:rPr>
                <w:b/>
                <w:bCs/>
                <w:color w:val="000000"/>
              </w:rPr>
              <w:t>V</w:t>
            </w:r>
          </w:p>
        </w:tc>
        <w:tc>
          <w:tcPr>
            <w:tcW w:w="3838"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spacing w:before="120" w:after="120" w:line="234" w:lineRule="atLeast"/>
              <w:rPr>
                <w:color w:val="000000"/>
              </w:rPr>
            </w:pPr>
            <w:r w:rsidRPr="00274634">
              <w:rPr>
                <w:b/>
                <w:bCs/>
                <w:color w:val="000000"/>
              </w:rPr>
              <w:t>PHÂN PHỐI KẾT QUẢ TÀI CHÍNH THEO CƠ CHẾ TỰ CHỦ</w:t>
            </w:r>
          </w:p>
        </w:tc>
        <w:tc>
          <w:tcPr>
            <w:tcW w:w="707" w:type="pct"/>
            <w:tcBorders>
              <w:top w:val="nil"/>
              <w:left w:val="nil"/>
              <w:bottom w:val="single" w:sz="8" w:space="0" w:color="auto"/>
              <w:right w:val="single" w:sz="8" w:space="0" w:color="auto"/>
            </w:tcBorders>
            <w:shd w:val="clear" w:color="auto" w:fill="auto"/>
            <w:vAlign w:val="center"/>
            <w:hideMark/>
          </w:tcPr>
          <w:p w:rsidR="00274634" w:rsidRPr="00274634" w:rsidRDefault="00274634" w:rsidP="00274634">
            <w:pPr>
              <w:rPr>
                <w:color w:val="000000"/>
              </w:rPr>
            </w:pPr>
          </w:p>
        </w:tc>
      </w:tr>
    </w:tbl>
    <w:p w:rsidR="00274634" w:rsidRDefault="00274634" w:rsidP="00307CFC"/>
    <w:sectPr w:rsidR="00274634" w:rsidSect="0094185E">
      <w:head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2F" w:rsidRDefault="0010632F" w:rsidP="0094185E">
      <w:r>
        <w:separator/>
      </w:r>
    </w:p>
  </w:endnote>
  <w:endnote w:type="continuationSeparator" w:id="0">
    <w:p w:rsidR="0010632F" w:rsidRDefault="0010632F" w:rsidP="0094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2F" w:rsidRDefault="0010632F" w:rsidP="0094185E">
      <w:r>
        <w:separator/>
      </w:r>
    </w:p>
  </w:footnote>
  <w:footnote w:type="continuationSeparator" w:id="0">
    <w:p w:rsidR="0010632F" w:rsidRDefault="0010632F" w:rsidP="0094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12981"/>
      <w:docPartObj>
        <w:docPartGallery w:val="Page Numbers (Top of Page)"/>
        <w:docPartUnique/>
      </w:docPartObj>
    </w:sdtPr>
    <w:sdtEndPr>
      <w:rPr>
        <w:noProof/>
      </w:rPr>
    </w:sdtEndPr>
    <w:sdtContent>
      <w:p w:rsidR="0094185E" w:rsidRDefault="0094185E">
        <w:pPr>
          <w:pStyle w:val="Header"/>
          <w:jc w:val="center"/>
        </w:pPr>
        <w:r>
          <w:fldChar w:fldCharType="begin"/>
        </w:r>
        <w:r>
          <w:instrText xml:space="preserve"> PAGE   \* MERGEFORMAT </w:instrText>
        </w:r>
        <w:r>
          <w:fldChar w:fldCharType="separate"/>
        </w:r>
        <w:r w:rsidR="00D53404">
          <w:rPr>
            <w:noProof/>
          </w:rPr>
          <w:t>8</w:t>
        </w:r>
        <w:r>
          <w:rPr>
            <w:noProof/>
          </w:rPr>
          <w:fldChar w:fldCharType="end"/>
        </w:r>
      </w:p>
    </w:sdtContent>
  </w:sdt>
  <w:p w:rsidR="0094185E" w:rsidRDefault="00941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D18B3"/>
    <w:multiLevelType w:val="hybridMultilevel"/>
    <w:tmpl w:val="829AB838"/>
    <w:lvl w:ilvl="0" w:tplc="FBC426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FC"/>
    <w:rsid w:val="00042CB6"/>
    <w:rsid w:val="00057B33"/>
    <w:rsid w:val="00086F2B"/>
    <w:rsid w:val="000938B5"/>
    <w:rsid w:val="000C4F4B"/>
    <w:rsid w:val="000D3111"/>
    <w:rsid w:val="0010632F"/>
    <w:rsid w:val="00142C5E"/>
    <w:rsid w:val="0014707F"/>
    <w:rsid w:val="0017141B"/>
    <w:rsid w:val="001B00CA"/>
    <w:rsid w:val="001F1CE4"/>
    <w:rsid w:val="00255822"/>
    <w:rsid w:val="00271E76"/>
    <w:rsid w:val="00274634"/>
    <w:rsid w:val="00284EF6"/>
    <w:rsid w:val="002867E3"/>
    <w:rsid w:val="002C0EF1"/>
    <w:rsid w:val="00303D4E"/>
    <w:rsid w:val="00305D83"/>
    <w:rsid w:val="00307CFC"/>
    <w:rsid w:val="003F076C"/>
    <w:rsid w:val="004019B7"/>
    <w:rsid w:val="004247E4"/>
    <w:rsid w:val="00483E4A"/>
    <w:rsid w:val="00484CBD"/>
    <w:rsid w:val="004873B2"/>
    <w:rsid w:val="004B5AC4"/>
    <w:rsid w:val="004B7D00"/>
    <w:rsid w:val="004C7B70"/>
    <w:rsid w:val="004D1FBF"/>
    <w:rsid w:val="004D79BB"/>
    <w:rsid w:val="004F0259"/>
    <w:rsid w:val="004F450E"/>
    <w:rsid w:val="00521CAF"/>
    <w:rsid w:val="00525C80"/>
    <w:rsid w:val="00525E4D"/>
    <w:rsid w:val="00544B24"/>
    <w:rsid w:val="005535EA"/>
    <w:rsid w:val="005557FF"/>
    <w:rsid w:val="00557C26"/>
    <w:rsid w:val="00573A0B"/>
    <w:rsid w:val="00575FBA"/>
    <w:rsid w:val="00583B8C"/>
    <w:rsid w:val="00601396"/>
    <w:rsid w:val="00617996"/>
    <w:rsid w:val="006223B1"/>
    <w:rsid w:val="0062553F"/>
    <w:rsid w:val="00633301"/>
    <w:rsid w:val="00644FAF"/>
    <w:rsid w:val="006566DD"/>
    <w:rsid w:val="00665A9F"/>
    <w:rsid w:val="007107D8"/>
    <w:rsid w:val="00715D79"/>
    <w:rsid w:val="00750B53"/>
    <w:rsid w:val="007549F5"/>
    <w:rsid w:val="007D0ABC"/>
    <w:rsid w:val="007E4FBC"/>
    <w:rsid w:val="007F0A7E"/>
    <w:rsid w:val="00815494"/>
    <w:rsid w:val="00874819"/>
    <w:rsid w:val="008A1B7A"/>
    <w:rsid w:val="008D283D"/>
    <w:rsid w:val="008E3E4F"/>
    <w:rsid w:val="009149BD"/>
    <w:rsid w:val="00914FAC"/>
    <w:rsid w:val="00917C14"/>
    <w:rsid w:val="00941184"/>
    <w:rsid w:val="0094185E"/>
    <w:rsid w:val="00945035"/>
    <w:rsid w:val="0097022C"/>
    <w:rsid w:val="0097466B"/>
    <w:rsid w:val="00974DBF"/>
    <w:rsid w:val="009A64DB"/>
    <w:rsid w:val="00A15E7E"/>
    <w:rsid w:val="00A2374F"/>
    <w:rsid w:val="00A511F8"/>
    <w:rsid w:val="00A567F2"/>
    <w:rsid w:val="00A63726"/>
    <w:rsid w:val="00A92974"/>
    <w:rsid w:val="00AC7370"/>
    <w:rsid w:val="00AE4030"/>
    <w:rsid w:val="00B24F48"/>
    <w:rsid w:val="00B2705D"/>
    <w:rsid w:val="00B56830"/>
    <w:rsid w:val="00B56AC6"/>
    <w:rsid w:val="00B90B19"/>
    <w:rsid w:val="00BA03C1"/>
    <w:rsid w:val="00BA7049"/>
    <w:rsid w:val="00BD16BA"/>
    <w:rsid w:val="00BF676D"/>
    <w:rsid w:val="00C0595A"/>
    <w:rsid w:val="00C32655"/>
    <w:rsid w:val="00C42EB1"/>
    <w:rsid w:val="00C46296"/>
    <w:rsid w:val="00CF0E5E"/>
    <w:rsid w:val="00CF274D"/>
    <w:rsid w:val="00CF6959"/>
    <w:rsid w:val="00D065C7"/>
    <w:rsid w:val="00D06DCE"/>
    <w:rsid w:val="00D25B06"/>
    <w:rsid w:val="00D53404"/>
    <w:rsid w:val="00D550BA"/>
    <w:rsid w:val="00D56034"/>
    <w:rsid w:val="00D81E87"/>
    <w:rsid w:val="00DB1640"/>
    <w:rsid w:val="00DC43FA"/>
    <w:rsid w:val="00E01DF5"/>
    <w:rsid w:val="00E81469"/>
    <w:rsid w:val="00E834D8"/>
    <w:rsid w:val="00EB5CEE"/>
    <w:rsid w:val="00F0500B"/>
    <w:rsid w:val="00F63129"/>
    <w:rsid w:val="00FA263E"/>
    <w:rsid w:val="00FA4235"/>
    <w:rsid w:val="00FA73DE"/>
    <w:rsid w:val="00FB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78F00-1095-478A-B5FB-49F8412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FC"/>
    <w:pPr>
      <w:spacing w:after="0" w:line="240" w:lineRule="auto"/>
    </w:pPr>
    <w:rPr>
      <w:rFonts w:eastAsia="Times New Roman" w:cs="Times New Roman"/>
      <w:szCs w:val="28"/>
    </w:rPr>
  </w:style>
  <w:style w:type="paragraph" w:styleId="Heading3">
    <w:name w:val="heading 3"/>
    <w:basedOn w:val="Normal"/>
    <w:link w:val="Heading3Char"/>
    <w:uiPriority w:val="9"/>
    <w:qFormat/>
    <w:rsid w:val="00307C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07CFC"/>
    <w:pPr>
      <w:spacing w:before="240"/>
      <w:ind w:firstLine="720"/>
      <w:jc w:val="both"/>
    </w:pPr>
    <w:rPr>
      <w:rFonts w:ascii=".VnTime" w:hAnsi=".VnTime"/>
      <w:szCs w:val="20"/>
    </w:rPr>
  </w:style>
  <w:style w:type="character" w:customStyle="1" w:styleId="BodyTextIndentChar">
    <w:name w:val="Body Text Indent Char"/>
    <w:basedOn w:val="DefaultParagraphFont"/>
    <w:rsid w:val="00307CFC"/>
    <w:rPr>
      <w:rFonts w:eastAsia="Times New Roman" w:cs="Times New Roman"/>
      <w:szCs w:val="28"/>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basedOn w:val="DefaultParagraphFont"/>
    <w:link w:val="BodyTextIndent"/>
    <w:rsid w:val="00307CFC"/>
    <w:rPr>
      <w:rFonts w:ascii=".VnTime" w:eastAsia="Times New Roman" w:hAnsi=".VnTime" w:cs="Times New Roman"/>
      <w:szCs w:val="20"/>
    </w:rPr>
  </w:style>
  <w:style w:type="paragraph" w:customStyle="1" w:styleId="Char4">
    <w:name w:val="Char4"/>
    <w:basedOn w:val="Normal"/>
    <w:semiHidden/>
    <w:rsid w:val="00307CFC"/>
    <w:pPr>
      <w:spacing w:after="160" w:line="240" w:lineRule="exact"/>
    </w:pPr>
    <w:rPr>
      <w:rFonts w:ascii="Arial" w:hAnsi="Arial" w:cs="Arial"/>
      <w:sz w:val="22"/>
      <w:szCs w:val="22"/>
    </w:rPr>
  </w:style>
  <w:style w:type="character" w:customStyle="1" w:styleId="Heading3Char">
    <w:name w:val="Heading 3 Char"/>
    <w:basedOn w:val="DefaultParagraphFont"/>
    <w:link w:val="Heading3"/>
    <w:uiPriority w:val="9"/>
    <w:rsid w:val="00307CFC"/>
    <w:rPr>
      <w:rFonts w:eastAsia="Times New Roman" w:cs="Times New Roman"/>
      <w:b/>
      <w:bCs/>
      <w:sz w:val="27"/>
      <w:szCs w:val="27"/>
    </w:rPr>
  </w:style>
  <w:style w:type="character" w:styleId="Hyperlink">
    <w:name w:val="Hyperlink"/>
    <w:basedOn w:val="DefaultParagraphFont"/>
    <w:uiPriority w:val="99"/>
    <w:semiHidden/>
    <w:unhideWhenUsed/>
    <w:rsid w:val="00307CFC"/>
    <w:rPr>
      <w:color w:val="0000FF"/>
      <w:u w:val="single"/>
    </w:rPr>
  </w:style>
  <w:style w:type="paragraph" w:styleId="NormalWeb">
    <w:name w:val="Normal (Web)"/>
    <w:basedOn w:val="Normal"/>
    <w:uiPriority w:val="99"/>
    <w:unhideWhenUsed/>
    <w:rsid w:val="0097466B"/>
    <w:pPr>
      <w:spacing w:before="100" w:beforeAutospacing="1" w:after="100" w:afterAutospacing="1"/>
    </w:pPr>
    <w:rPr>
      <w:sz w:val="24"/>
      <w:szCs w:val="24"/>
    </w:rPr>
  </w:style>
  <w:style w:type="paragraph" w:styleId="ListParagraph">
    <w:name w:val="List Paragraph"/>
    <w:basedOn w:val="Normal"/>
    <w:uiPriority w:val="34"/>
    <w:qFormat/>
    <w:rsid w:val="00A63726"/>
    <w:pPr>
      <w:ind w:left="720"/>
      <w:contextualSpacing/>
    </w:pPr>
  </w:style>
  <w:style w:type="paragraph" w:styleId="BalloonText">
    <w:name w:val="Balloon Text"/>
    <w:basedOn w:val="Normal"/>
    <w:link w:val="BalloonTextChar"/>
    <w:uiPriority w:val="99"/>
    <w:semiHidden/>
    <w:unhideWhenUsed/>
    <w:rsid w:val="00401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B7"/>
    <w:rPr>
      <w:rFonts w:ascii="Segoe UI" w:eastAsia="Times New Roman" w:hAnsi="Segoe UI" w:cs="Segoe UI"/>
      <w:sz w:val="18"/>
      <w:szCs w:val="18"/>
    </w:rPr>
  </w:style>
  <w:style w:type="character" w:styleId="Strong">
    <w:name w:val="Strong"/>
    <w:basedOn w:val="DefaultParagraphFont"/>
    <w:uiPriority w:val="22"/>
    <w:qFormat/>
    <w:rsid w:val="00E834D8"/>
    <w:rPr>
      <w:b/>
      <w:bCs/>
    </w:rPr>
  </w:style>
  <w:style w:type="character" w:styleId="Emphasis">
    <w:name w:val="Emphasis"/>
    <w:basedOn w:val="DefaultParagraphFont"/>
    <w:uiPriority w:val="20"/>
    <w:qFormat/>
    <w:rsid w:val="00E834D8"/>
    <w:rPr>
      <w:i/>
      <w:iCs/>
    </w:rPr>
  </w:style>
  <w:style w:type="paragraph" w:styleId="Header">
    <w:name w:val="header"/>
    <w:basedOn w:val="Normal"/>
    <w:link w:val="HeaderChar"/>
    <w:uiPriority w:val="99"/>
    <w:unhideWhenUsed/>
    <w:rsid w:val="0094185E"/>
    <w:pPr>
      <w:tabs>
        <w:tab w:val="center" w:pos="4680"/>
        <w:tab w:val="right" w:pos="9360"/>
      </w:tabs>
    </w:pPr>
  </w:style>
  <w:style w:type="character" w:customStyle="1" w:styleId="HeaderChar">
    <w:name w:val="Header Char"/>
    <w:basedOn w:val="DefaultParagraphFont"/>
    <w:link w:val="Header"/>
    <w:uiPriority w:val="99"/>
    <w:rsid w:val="0094185E"/>
    <w:rPr>
      <w:rFonts w:eastAsia="Times New Roman" w:cs="Times New Roman"/>
      <w:szCs w:val="28"/>
    </w:rPr>
  </w:style>
  <w:style w:type="paragraph" w:styleId="Footer">
    <w:name w:val="footer"/>
    <w:basedOn w:val="Normal"/>
    <w:link w:val="FooterChar"/>
    <w:uiPriority w:val="99"/>
    <w:unhideWhenUsed/>
    <w:rsid w:val="0094185E"/>
    <w:pPr>
      <w:tabs>
        <w:tab w:val="center" w:pos="4680"/>
        <w:tab w:val="right" w:pos="9360"/>
      </w:tabs>
    </w:pPr>
  </w:style>
  <w:style w:type="character" w:customStyle="1" w:styleId="FooterChar">
    <w:name w:val="Footer Char"/>
    <w:basedOn w:val="DefaultParagraphFont"/>
    <w:link w:val="Footer"/>
    <w:uiPriority w:val="99"/>
    <w:rsid w:val="0094185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862">
      <w:bodyDiv w:val="1"/>
      <w:marLeft w:val="0"/>
      <w:marRight w:val="0"/>
      <w:marTop w:val="0"/>
      <w:marBottom w:val="0"/>
      <w:divBdr>
        <w:top w:val="none" w:sz="0" w:space="0" w:color="auto"/>
        <w:left w:val="none" w:sz="0" w:space="0" w:color="auto"/>
        <w:bottom w:val="none" w:sz="0" w:space="0" w:color="auto"/>
        <w:right w:val="none" w:sz="0" w:space="0" w:color="auto"/>
      </w:divBdr>
    </w:div>
    <w:div w:id="819342204">
      <w:bodyDiv w:val="1"/>
      <w:marLeft w:val="0"/>
      <w:marRight w:val="0"/>
      <w:marTop w:val="0"/>
      <w:marBottom w:val="0"/>
      <w:divBdr>
        <w:top w:val="none" w:sz="0" w:space="0" w:color="auto"/>
        <w:left w:val="none" w:sz="0" w:space="0" w:color="auto"/>
        <w:bottom w:val="none" w:sz="0" w:space="0" w:color="auto"/>
        <w:right w:val="none" w:sz="0" w:space="0" w:color="auto"/>
      </w:divBdr>
    </w:div>
    <w:div w:id="1084688877">
      <w:bodyDiv w:val="1"/>
      <w:marLeft w:val="0"/>
      <w:marRight w:val="0"/>
      <w:marTop w:val="0"/>
      <w:marBottom w:val="0"/>
      <w:divBdr>
        <w:top w:val="none" w:sz="0" w:space="0" w:color="auto"/>
        <w:left w:val="none" w:sz="0" w:space="0" w:color="auto"/>
        <w:bottom w:val="none" w:sz="0" w:space="0" w:color="auto"/>
        <w:right w:val="none" w:sz="0" w:space="0" w:color="auto"/>
      </w:divBdr>
    </w:div>
    <w:div w:id="1894194695">
      <w:bodyDiv w:val="1"/>
      <w:marLeft w:val="0"/>
      <w:marRight w:val="0"/>
      <w:marTop w:val="0"/>
      <w:marBottom w:val="0"/>
      <w:divBdr>
        <w:top w:val="none" w:sz="0" w:space="0" w:color="auto"/>
        <w:left w:val="none" w:sz="0" w:space="0" w:color="auto"/>
        <w:bottom w:val="none" w:sz="0" w:space="0" w:color="auto"/>
        <w:right w:val="none" w:sz="0" w:space="0" w:color="auto"/>
      </w:divBdr>
    </w:div>
    <w:div w:id="1937866103">
      <w:bodyDiv w:val="1"/>
      <w:marLeft w:val="0"/>
      <w:marRight w:val="0"/>
      <w:marTop w:val="0"/>
      <w:marBottom w:val="0"/>
      <w:divBdr>
        <w:top w:val="none" w:sz="0" w:space="0" w:color="auto"/>
        <w:left w:val="none" w:sz="0" w:space="0" w:color="auto"/>
        <w:bottom w:val="none" w:sz="0" w:space="0" w:color="auto"/>
        <w:right w:val="none" w:sz="0" w:space="0" w:color="auto"/>
      </w:divBdr>
    </w:div>
    <w:div w:id="20482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45-2017-tt-btc-khung-thu-lao-dich-vu-dau-gia-tai-san-theo-quy-dinh-luat-dau-gia-tai-san-341649.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ai-chinh-nha-nuoc/Luat-Gia-2023-16-2023-QH15-51932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2F020-86E6-4792-9625-AEFB37B959EC}"/>
</file>

<file path=customXml/itemProps2.xml><?xml version="1.0" encoding="utf-8"?>
<ds:datastoreItem xmlns:ds="http://schemas.openxmlformats.org/officeDocument/2006/customXml" ds:itemID="{D4FFED41-32DA-48DD-B986-AEDD84812DF0}"/>
</file>

<file path=customXml/itemProps3.xml><?xml version="1.0" encoding="utf-8"?>
<ds:datastoreItem xmlns:ds="http://schemas.openxmlformats.org/officeDocument/2006/customXml" ds:itemID="{0C034A86-B3FE-4E9B-B7CD-8A873C2C9510}"/>
</file>

<file path=docProps/app.xml><?xml version="1.0" encoding="utf-8"?>
<Properties xmlns="http://schemas.openxmlformats.org/officeDocument/2006/extended-properties" xmlns:vt="http://schemas.openxmlformats.org/officeDocument/2006/docPropsVTypes">
  <Template>Normal.dotm</Template>
  <TotalTime>18</TotalTime>
  <Pages>12</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7</cp:revision>
  <cp:lastPrinted>2024-05-06T09:45:00Z</cp:lastPrinted>
  <dcterms:created xsi:type="dcterms:W3CDTF">2024-07-20T04:17:00Z</dcterms:created>
  <dcterms:modified xsi:type="dcterms:W3CDTF">2024-10-09T09:53:00Z</dcterms:modified>
</cp:coreProperties>
</file>